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DF71" w14:textId="507C8724" w:rsidR="00472E0A" w:rsidRPr="00C603DF" w:rsidRDefault="00472E0A" w:rsidP="00C603DF">
      <w:pPr>
        <w:pStyle w:val="Heading1"/>
      </w:pPr>
      <w:r w:rsidRPr="00472E0A">
        <w:t>Data to AI Governance Map</w:t>
      </w:r>
    </w:p>
    <w:p w14:paraId="61CB76E3" w14:textId="5858C3CD" w:rsidR="00472E0A" w:rsidRPr="008818A6" w:rsidRDefault="00472E0A" w:rsidP="00472E0A">
      <w:pPr>
        <w:rPr>
          <w:rFonts w:ascii="Roboto" w:hAnsi="Roboto"/>
        </w:rPr>
      </w:pPr>
      <w:r w:rsidRPr="008818A6">
        <w:rPr>
          <w:rFonts w:ascii="Roboto" w:hAnsi="Roboto"/>
        </w:rPr>
        <w:t>This document maps traditional Data Governance tasks to their AI Governance counterparts. It is designed to help agencies quickly see how existing data practices translate to AI requirements and where additional oversight may be needed.</w:t>
      </w:r>
    </w:p>
    <w:tbl>
      <w:tblPr>
        <w:tblStyle w:val="TableGrid"/>
        <w:tblW w:w="0" w:type="auto"/>
        <w:tblLayout w:type="fixed"/>
        <w:tblLook w:val="04A0" w:firstRow="1" w:lastRow="0" w:firstColumn="1" w:lastColumn="0" w:noHBand="0" w:noVBand="1"/>
      </w:tblPr>
      <w:tblGrid>
        <w:gridCol w:w="1975"/>
        <w:gridCol w:w="4500"/>
        <w:gridCol w:w="810"/>
        <w:gridCol w:w="1890"/>
        <w:gridCol w:w="5130"/>
      </w:tblGrid>
      <w:tr w:rsidR="00B24273" w14:paraId="3DAE5EBC" w14:textId="77777777" w:rsidTr="00236730">
        <w:trPr>
          <w:tblHeader/>
        </w:trPr>
        <w:tc>
          <w:tcPr>
            <w:tcW w:w="1975" w:type="dxa"/>
            <w:shd w:val="clear" w:color="auto" w:fill="DDF7F1" w:themeFill="accent4"/>
            <w:vAlign w:val="center"/>
          </w:tcPr>
          <w:p w14:paraId="138EF0F2" w14:textId="1270A544" w:rsidR="003D488E" w:rsidRPr="008818A6" w:rsidRDefault="003D488E" w:rsidP="00B24273">
            <w:pPr>
              <w:spacing w:before="120" w:after="120"/>
              <w:rPr>
                <w:rFonts w:ascii="Montserrat" w:hAnsi="Montserrat"/>
                <w:b/>
                <w:bCs/>
              </w:rPr>
            </w:pPr>
            <w:r w:rsidRPr="008818A6">
              <w:rPr>
                <w:rFonts w:ascii="Montserrat" w:hAnsi="Montserrat"/>
                <w:b/>
                <w:bCs/>
              </w:rPr>
              <w:t>Data Governance Task</w:t>
            </w:r>
          </w:p>
        </w:tc>
        <w:tc>
          <w:tcPr>
            <w:tcW w:w="4500" w:type="dxa"/>
            <w:shd w:val="clear" w:color="auto" w:fill="DDF7F1" w:themeFill="accent4"/>
            <w:vAlign w:val="center"/>
          </w:tcPr>
          <w:p w14:paraId="6DBE2C2F" w14:textId="4EE38818" w:rsidR="003D488E" w:rsidRPr="008818A6" w:rsidRDefault="003D488E" w:rsidP="00B24273">
            <w:pPr>
              <w:spacing w:before="120" w:after="120"/>
              <w:rPr>
                <w:rFonts w:ascii="Montserrat" w:hAnsi="Montserrat"/>
                <w:b/>
                <w:bCs/>
              </w:rPr>
            </w:pPr>
            <w:r w:rsidRPr="008818A6">
              <w:rPr>
                <w:rFonts w:ascii="Montserrat" w:hAnsi="Montserrat"/>
                <w:b/>
                <w:bCs/>
              </w:rPr>
              <w:t>Description and Purpose</w:t>
            </w:r>
          </w:p>
        </w:tc>
        <w:tc>
          <w:tcPr>
            <w:tcW w:w="810" w:type="dxa"/>
            <w:tcBorders>
              <w:top w:val="nil"/>
              <w:bottom w:val="nil"/>
            </w:tcBorders>
            <w:shd w:val="clear" w:color="auto" w:fill="FFFFFF" w:themeFill="background1"/>
            <w:vAlign w:val="center"/>
          </w:tcPr>
          <w:p w14:paraId="33B1F0B9" w14:textId="77777777" w:rsidR="003D488E" w:rsidRPr="008818A6" w:rsidRDefault="003D488E" w:rsidP="00B24273">
            <w:pPr>
              <w:spacing w:before="120" w:after="120"/>
              <w:rPr>
                <w:rFonts w:ascii="Montserrat" w:hAnsi="Montserrat"/>
                <w:b/>
                <w:bCs/>
              </w:rPr>
            </w:pPr>
          </w:p>
        </w:tc>
        <w:tc>
          <w:tcPr>
            <w:tcW w:w="1890" w:type="dxa"/>
            <w:shd w:val="clear" w:color="auto" w:fill="DDF7F1" w:themeFill="accent4"/>
            <w:vAlign w:val="center"/>
          </w:tcPr>
          <w:p w14:paraId="4C6CC78B" w14:textId="5B7AF91D" w:rsidR="003D488E" w:rsidRPr="008818A6" w:rsidRDefault="003D488E" w:rsidP="00B24273">
            <w:pPr>
              <w:spacing w:before="120" w:after="120"/>
              <w:rPr>
                <w:rFonts w:ascii="Montserrat" w:hAnsi="Montserrat"/>
                <w:b/>
                <w:bCs/>
              </w:rPr>
            </w:pPr>
            <w:r w:rsidRPr="008818A6">
              <w:rPr>
                <w:rFonts w:ascii="Montserrat" w:hAnsi="Montserrat"/>
                <w:b/>
                <w:bCs/>
              </w:rPr>
              <w:t>AI Governance Task</w:t>
            </w:r>
          </w:p>
        </w:tc>
        <w:tc>
          <w:tcPr>
            <w:tcW w:w="5130" w:type="dxa"/>
            <w:shd w:val="clear" w:color="auto" w:fill="DDF7F1" w:themeFill="accent4"/>
            <w:vAlign w:val="center"/>
          </w:tcPr>
          <w:p w14:paraId="042FED47" w14:textId="7B692061" w:rsidR="003D488E" w:rsidRPr="008818A6" w:rsidRDefault="003D488E" w:rsidP="00B24273">
            <w:pPr>
              <w:spacing w:before="120" w:after="120"/>
              <w:rPr>
                <w:rFonts w:ascii="Montserrat" w:hAnsi="Montserrat"/>
                <w:b/>
                <w:bCs/>
              </w:rPr>
            </w:pPr>
            <w:r w:rsidRPr="008818A6">
              <w:rPr>
                <w:rFonts w:ascii="Montserrat" w:hAnsi="Montserrat"/>
                <w:b/>
                <w:bCs/>
              </w:rPr>
              <w:t>Description and Purpose</w:t>
            </w:r>
          </w:p>
        </w:tc>
      </w:tr>
      <w:tr w:rsidR="00B24273" w14:paraId="3BF56AD7" w14:textId="77777777" w:rsidTr="008818A6">
        <w:tc>
          <w:tcPr>
            <w:tcW w:w="1975" w:type="dxa"/>
            <w:shd w:val="clear" w:color="auto" w:fill="FEF6E2" w:themeFill="accent5" w:themeFillTint="33"/>
            <w:vAlign w:val="center"/>
          </w:tcPr>
          <w:p w14:paraId="65753700" w14:textId="7DCB89E1" w:rsidR="00B24273" w:rsidRPr="00B24273" w:rsidRDefault="00B24273" w:rsidP="00B24273">
            <w:pPr>
              <w:spacing w:before="120" w:after="120"/>
              <w:rPr>
                <w:rFonts w:ascii="Roboto" w:hAnsi="Roboto"/>
              </w:rPr>
            </w:pPr>
            <w:r w:rsidRPr="00B24273">
              <w:rPr>
                <w:rFonts w:ascii="Roboto" w:hAnsi="Roboto" w:cs="Arial"/>
                <w:color w:val="000000"/>
              </w:rPr>
              <w:t>Data Inventory &amp; Catalog</w:t>
            </w:r>
          </w:p>
        </w:tc>
        <w:tc>
          <w:tcPr>
            <w:tcW w:w="4500" w:type="dxa"/>
            <w:shd w:val="clear" w:color="auto" w:fill="EEEEED" w:themeFill="background2"/>
            <w:vAlign w:val="center"/>
          </w:tcPr>
          <w:p w14:paraId="5CCBD9A2" w14:textId="4AAAB549" w:rsidR="00B24273" w:rsidRPr="00B24273" w:rsidRDefault="00B24273" w:rsidP="00B24273">
            <w:pPr>
              <w:spacing w:before="120" w:after="120"/>
              <w:rPr>
                <w:rFonts w:ascii="Roboto" w:hAnsi="Roboto"/>
              </w:rPr>
            </w:pPr>
            <w:r w:rsidRPr="00B24273">
              <w:rPr>
                <w:rFonts w:ascii="Roboto" w:hAnsi="Roboto"/>
              </w:rPr>
              <w:t>Systematically identifying and documenting all data assets, including their source, content, and usage, for easy discovery and management.</w:t>
            </w:r>
          </w:p>
        </w:tc>
        <w:tc>
          <w:tcPr>
            <w:tcW w:w="810" w:type="dxa"/>
            <w:tcBorders>
              <w:top w:val="nil"/>
              <w:bottom w:val="nil"/>
            </w:tcBorders>
          </w:tcPr>
          <w:p w14:paraId="13690581" w14:textId="48B165C0" w:rsidR="00B24273" w:rsidRPr="00B24273" w:rsidRDefault="00B24273" w:rsidP="00B24273">
            <w:pPr>
              <w:spacing w:before="360" w:after="120"/>
              <w:rPr>
                <w:rFonts w:ascii="Roboto" w:hAnsi="Roboto"/>
              </w:rPr>
            </w:pPr>
            <w:r w:rsidRPr="00B24273">
              <w:rPr>
                <w:rFonts w:ascii="Roboto" w:hAnsi="Roboto"/>
                <w:noProof/>
              </w:rPr>
              <w:drawing>
                <wp:inline distT="0" distB="0" distL="0" distR="0" wp14:anchorId="589951F0" wp14:editId="6C63F545">
                  <wp:extent cx="340242" cy="340242"/>
                  <wp:effectExtent l="0" t="0" r="3175" b="0"/>
                  <wp:docPr id="197070707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07072"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3F04DDAF" w14:textId="1A75D6E0" w:rsidR="00B24273" w:rsidRPr="00B24273" w:rsidRDefault="00B24273" w:rsidP="00B24273">
            <w:pPr>
              <w:spacing w:before="120" w:after="120"/>
              <w:rPr>
                <w:rFonts w:ascii="Roboto" w:hAnsi="Roboto"/>
              </w:rPr>
            </w:pPr>
            <w:r w:rsidRPr="00B24273">
              <w:rPr>
                <w:rFonts w:ascii="Roboto" w:hAnsi="Roboto"/>
              </w:rPr>
              <w:t>AI System Registry</w:t>
            </w:r>
          </w:p>
        </w:tc>
        <w:tc>
          <w:tcPr>
            <w:tcW w:w="5130" w:type="dxa"/>
            <w:shd w:val="clear" w:color="auto" w:fill="EEEEED" w:themeFill="background2"/>
            <w:vAlign w:val="center"/>
          </w:tcPr>
          <w:p w14:paraId="38B968C7" w14:textId="5EF557D0" w:rsidR="00B24273" w:rsidRPr="00B24273" w:rsidRDefault="00B24273" w:rsidP="00B24273">
            <w:pPr>
              <w:spacing w:before="120" w:after="120"/>
              <w:rPr>
                <w:rFonts w:ascii="Roboto" w:hAnsi="Roboto"/>
              </w:rPr>
            </w:pPr>
            <w:r w:rsidRPr="00B24273">
              <w:rPr>
                <w:rFonts w:ascii="Roboto" w:hAnsi="Roboto"/>
              </w:rPr>
              <w:t>The official catalog of all AI models, linked to the data assets they use. It confirms the AI system's existence, location, and purpose.</w:t>
            </w:r>
          </w:p>
        </w:tc>
      </w:tr>
      <w:tr w:rsidR="00B24273" w14:paraId="44C6CC49" w14:textId="77777777" w:rsidTr="008818A6">
        <w:tc>
          <w:tcPr>
            <w:tcW w:w="1975" w:type="dxa"/>
            <w:shd w:val="clear" w:color="auto" w:fill="FEF6E2" w:themeFill="accent5" w:themeFillTint="33"/>
            <w:vAlign w:val="center"/>
          </w:tcPr>
          <w:p w14:paraId="51109E0F" w14:textId="04757C92" w:rsidR="00B24273" w:rsidRPr="00B24273" w:rsidRDefault="00B24273" w:rsidP="00B24273">
            <w:pPr>
              <w:spacing w:before="120" w:after="120"/>
              <w:rPr>
                <w:rFonts w:ascii="Roboto" w:hAnsi="Roboto"/>
              </w:rPr>
            </w:pPr>
            <w:r w:rsidRPr="00B24273">
              <w:rPr>
                <w:rFonts w:ascii="Roboto" w:hAnsi="Roboto" w:cs="Arial"/>
                <w:color w:val="000000"/>
              </w:rPr>
              <w:t>Data Owner &amp; Data Steward Assignment</w:t>
            </w:r>
          </w:p>
        </w:tc>
        <w:tc>
          <w:tcPr>
            <w:tcW w:w="4500" w:type="dxa"/>
            <w:shd w:val="clear" w:color="auto" w:fill="EEEEED" w:themeFill="background2"/>
            <w:vAlign w:val="center"/>
          </w:tcPr>
          <w:p w14:paraId="058C8B21" w14:textId="11F97EEC" w:rsidR="00B24273" w:rsidRPr="00B24273" w:rsidRDefault="00B24273" w:rsidP="00B24273">
            <w:pPr>
              <w:spacing w:before="120" w:after="120"/>
              <w:rPr>
                <w:rFonts w:ascii="Roboto" w:hAnsi="Roboto"/>
              </w:rPr>
            </w:pPr>
            <w:r w:rsidRPr="00B24273">
              <w:rPr>
                <w:rFonts w:ascii="Roboto" w:hAnsi="Roboto"/>
              </w:rPr>
              <w:t>Formalizing roles and responsibilities for data assets, ensuring clear accountability for data quality, security, and compliance.</w:t>
            </w:r>
          </w:p>
        </w:tc>
        <w:tc>
          <w:tcPr>
            <w:tcW w:w="810" w:type="dxa"/>
            <w:tcBorders>
              <w:top w:val="nil"/>
              <w:bottom w:val="nil"/>
            </w:tcBorders>
          </w:tcPr>
          <w:p w14:paraId="7BC2371E" w14:textId="3F487182" w:rsidR="00B24273" w:rsidRPr="00B24273" w:rsidRDefault="00236730" w:rsidP="00B24273">
            <w:pPr>
              <w:spacing w:before="360" w:after="120"/>
              <w:rPr>
                <w:rFonts w:ascii="Roboto" w:hAnsi="Roboto"/>
              </w:rPr>
            </w:pPr>
            <w:r w:rsidRPr="00B24273">
              <w:rPr>
                <w:rFonts w:ascii="Roboto" w:hAnsi="Roboto"/>
                <w:noProof/>
              </w:rPr>
              <w:drawing>
                <wp:inline distT="0" distB="0" distL="0" distR="0" wp14:anchorId="59376DFA" wp14:editId="5EF72FE5">
                  <wp:extent cx="340242" cy="340242"/>
                  <wp:effectExtent l="0" t="0" r="3175" b="0"/>
                  <wp:docPr id="137436171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61713"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64C97AB3" w14:textId="35C10B3E" w:rsidR="00B24273" w:rsidRPr="00B24273" w:rsidRDefault="00B24273" w:rsidP="00B24273">
            <w:pPr>
              <w:spacing w:before="120" w:after="120"/>
              <w:rPr>
                <w:rFonts w:ascii="Roboto" w:hAnsi="Roboto"/>
              </w:rPr>
            </w:pPr>
            <w:r w:rsidRPr="00B24273">
              <w:rPr>
                <w:rFonts w:ascii="Roboto" w:hAnsi="Roboto"/>
              </w:rPr>
              <w:t>AI Owner &amp; AI Steward Assignment</w:t>
            </w:r>
          </w:p>
        </w:tc>
        <w:tc>
          <w:tcPr>
            <w:tcW w:w="5130" w:type="dxa"/>
            <w:shd w:val="clear" w:color="auto" w:fill="EEEEED" w:themeFill="background2"/>
            <w:vAlign w:val="center"/>
          </w:tcPr>
          <w:p w14:paraId="20750829" w14:textId="0536A02E" w:rsidR="00B24273" w:rsidRPr="00B24273" w:rsidRDefault="00B24273" w:rsidP="00B24273">
            <w:pPr>
              <w:spacing w:before="120" w:after="120"/>
              <w:rPr>
                <w:rFonts w:ascii="Roboto" w:hAnsi="Roboto"/>
              </w:rPr>
            </w:pPr>
            <w:r w:rsidRPr="00B24273">
              <w:rPr>
                <w:rFonts w:ascii="Roboto" w:hAnsi="Roboto"/>
              </w:rPr>
              <w:t>Directly utilizes the existing governance roles. The AI Steward (often the Data Steward) is responsible for the AI system's data quality, compliance, and Model Card documentation.</w:t>
            </w:r>
          </w:p>
        </w:tc>
      </w:tr>
      <w:tr w:rsidR="00B24273" w14:paraId="650DDB0C" w14:textId="77777777" w:rsidTr="008818A6">
        <w:tc>
          <w:tcPr>
            <w:tcW w:w="1975" w:type="dxa"/>
            <w:shd w:val="clear" w:color="auto" w:fill="FEF6E2" w:themeFill="accent5" w:themeFillTint="33"/>
            <w:vAlign w:val="center"/>
          </w:tcPr>
          <w:p w14:paraId="1997D9A0" w14:textId="2A389C05" w:rsidR="00B24273" w:rsidRPr="00B24273" w:rsidRDefault="00B24273" w:rsidP="00B24273">
            <w:pPr>
              <w:spacing w:before="120" w:after="120"/>
              <w:rPr>
                <w:rFonts w:ascii="Roboto" w:hAnsi="Roboto"/>
              </w:rPr>
            </w:pPr>
            <w:r w:rsidRPr="00B24273">
              <w:rPr>
                <w:rFonts w:ascii="Roboto" w:hAnsi="Roboto" w:cs="Arial"/>
                <w:color w:val="000000"/>
              </w:rPr>
              <w:t>Metadata Management</w:t>
            </w:r>
          </w:p>
        </w:tc>
        <w:tc>
          <w:tcPr>
            <w:tcW w:w="4500" w:type="dxa"/>
            <w:shd w:val="clear" w:color="auto" w:fill="EEEEED" w:themeFill="background2"/>
            <w:vAlign w:val="center"/>
          </w:tcPr>
          <w:p w14:paraId="71847F14" w14:textId="2B86EF90" w:rsidR="00B24273" w:rsidRPr="00B24273" w:rsidRDefault="00B24273" w:rsidP="00B24273">
            <w:pPr>
              <w:spacing w:before="120" w:after="120"/>
              <w:rPr>
                <w:rFonts w:ascii="Roboto" w:hAnsi="Roboto"/>
              </w:rPr>
            </w:pPr>
            <w:r w:rsidRPr="00B24273">
              <w:rPr>
                <w:rFonts w:ascii="Roboto" w:hAnsi="Roboto"/>
              </w:rPr>
              <w:t>Creating and maintaining descriptive, structural, and administrative information (metadata) about data assets to improve understanding and trust.</w:t>
            </w:r>
          </w:p>
        </w:tc>
        <w:tc>
          <w:tcPr>
            <w:tcW w:w="810" w:type="dxa"/>
            <w:tcBorders>
              <w:top w:val="nil"/>
              <w:bottom w:val="nil"/>
            </w:tcBorders>
          </w:tcPr>
          <w:p w14:paraId="030C05B3" w14:textId="67C8A640" w:rsidR="00B24273" w:rsidRPr="00B24273" w:rsidRDefault="00236730" w:rsidP="00236730">
            <w:pPr>
              <w:spacing w:before="600" w:after="120"/>
              <w:rPr>
                <w:rFonts w:ascii="Roboto" w:hAnsi="Roboto"/>
              </w:rPr>
            </w:pPr>
            <w:r w:rsidRPr="00B24273">
              <w:rPr>
                <w:rFonts w:ascii="Roboto" w:hAnsi="Roboto"/>
                <w:noProof/>
              </w:rPr>
              <w:drawing>
                <wp:inline distT="0" distB="0" distL="0" distR="0" wp14:anchorId="179EC0BE" wp14:editId="4BF54692">
                  <wp:extent cx="340242" cy="340242"/>
                  <wp:effectExtent l="0" t="0" r="3175" b="0"/>
                  <wp:docPr id="163315970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59705"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7F435900" w14:textId="49D92862" w:rsidR="00B24273" w:rsidRPr="00B24273" w:rsidRDefault="00B24273" w:rsidP="00B24273">
            <w:pPr>
              <w:spacing w:before="120" w:after="120"/>
              <w:rPr>
                <w:rFonts w:ascii="Roboto" w:hAnsi="Roboto"/>
              </w:rPr>
            </w:pPr>
            <w:r w:rsidRPr="00B24273">
              <w:rPr>
                <w:rFonts w:ascii="Roboto" w:hAnsi="Roboto"/>
              </w:rPr>
              <w:t>Explainability Documentation</w:t>
            </w:r>
          </w:p>
        </w:tc>
        <w:tc>
          <w:tcPr>
            <w:tcW w:w="5130" w:type="dxa"/>
            <w:shd w:val="clear" w:color="auto" w:fill="EEEEED" w:themeFill="background2"/>
            <w:vAlign w:val="center"/>
          </w:tcPr>
          <w:p w14:paraId="55BA3EF3" w14:textId="1BABC17B" w:rsidR="00B24273" w:rsidRPr="00B24273" w:rsidRDefault="00B24273" w:rsidP="00B24273">
            <w:pPr>
              <w:spacing w:before="120" w:after="120"/>
              <w:rPr>
                <w:rFonts w:ascii="Roboto" w:hAnsi="Roboto"/>
              </w:rPr>
            </w:pPr>
            <w:r w:rsidRPr="00B24273">
              <w:rPr>
                <w:rFonts w:ascii="Roboto" w:hAnsi="Roboto"/>
              </w:rPr>
              <w:t>The model card and local explanations (SHAP/LIME values) serve as technical and business metadata for the AI asset, making its internal logic discoverable and auditable.</w:t>
            </w:r>
          </w:p>
        </w:tc>
      </w:tr>
      <w:tr w:rsidR="00B24273" w14:paraId="504EA7F4" w14:textId="77777777" w:rsidTr="008818A6">
        <w:tc>
          <w:tcPr>
            <w:tcW w:w="1975" w:type="dxa"/>
            <w:shd w:val="clear" w:color="auto" w:fill="FEF6E2" w:themeFill="accent5" w:themeFillTint="33"/>
            <w:vAlign w:val="center"/>
          </w:tcPr>
          <w:p w14:paraId="5F995557" w14:textId="58C64162" w:rsidR="00B24273" w:rsidRPr="00B24273" w:rsidRDefault="00B24273" w:rsidP="00B24273">
            <w:pPr>
              <w:spacing w:before="120" w:after="120"/>
              <w:rPr>
                <w:rFonts w:ascii="Roboto" w:hAnsi="Roboto"/>
              </w:rPr>
            </w:pPr>
            <w:r w:rsidRPr="00B24273">
              <w:rPr>
                <w:rFonts w:ascii="Roboto" w:hAnsi="Roboto" w:cs="Arial"/>
                <w:color w:val="000000"/>
              </w:rPr>
              <w:t>Data Classification &amp; Sensitivity</w:t>
            </w:r>
          </w:p>
        </w:tc>
        <w:tc>
          <w:tcPr>
            <w:tcW w:w="4500" w:type="dxa"/>
            <w:shd w:val="clear" w:color="auto" w:fill="EEEEED" w:themeFill="background2"/>
            <w:vAlign w:val="center"/>
          </w:tcPr>
          <w:p w14:paraId="186BDFB9" w14:textId="4040A121" w:rsidR="00B24273" w:rsidRPr="00B24273" w:rsidRDefault="00B24273" w:rsidP="00B24273">
            <w:pPr>
              <w:spacing w:before="120" w:after="120"/>
              <w:rPr>
                <w:rFonts w:ascii="Roboto" w:hAnsi="Roboto"/>
              </w:rPr>
            </w:pPr>
            <w:r w:rsidRPr="00B24273">
              <w:rPr>
                <w:rFonts w:ascii="Roboto" w:hAnsi="Roboto"/>
              </w:rPr>
              <w:t>Assigning labels (e.g., Public, Internal, Confidential, Restricted) to data based on their sensitivity, value, and regulatory requirements.</w:t>
            </w:r>
          </w:p>
        </w:tc>
        <w:tc>
          <w:tcPr>
            <w:tcW w:w="810" w:type="dxa"/>
            <w:tcBorders>
              <w:top w:val="nil"/>
              <w:bottom w:val="nil"/>
            </w:tcBorders>
          </w:tcPr>
          <w:p w14:paraId="7D726C02" w14:textId="1FD6F6EE" w:rsidR="00B24273" w:rsidRPr="00B24273" w:rsidRDefault="00236730" w:rsidP="00236730">
            <w:pPr>
              <w:spacing w:before="480" w:after="120"/>
              <w:rPr>
                <w:rFonts w:ascii="Roboto" w:hAnsi="Roboto"/>
              </w:rPr>
            </w:pPr>
            <w:r w:rsidRPr="00B24273">
              <w:rPr>
                <w:rFonts w:ascii="Roboto" w:hAnsi="Roboto"/>
                <w:noProof/>
              </w:rPr>
              <w:drawing>
                <wp:inline distT="0" distB="0" distL="0" distR="0" wp14:anchorId="14CBBF50" wp14:editId="1BA13BD6">
                  <wp:extent cx="340242" cy="340242"/>
                  <wp:effectExtent l="0" t="0" r="3175" b="0"/>
                  <wp:docPr id="135618339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3399"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29A68496" w14:textId="2AEF0FCB" w:rsidR="00B24273" w:rsidRPr="00B24273" w:rsidRDefault="00B24273" w:rsidP="00B24273">
            <w:pPr>
              <w:spacing w:before="120" w:after="120"/>
              <w:rPr>
                <w:rFonts w:ascii="Roboto" w:hAnsi="Roboto"/>
              </w:rPr>
            </w:pPr>
            <w:r w:rsidRPr="00B24273">
              <w:rPr>
                <w:rFonts w:ascii="Roboto" w:hAnsi="Roboto"/>
              </w:rPr>
              <w:t>AI Risk Tier Classification</w:t>
            </w:r>
          </w:p>
        </w:tc>
        <w:tc>
          <w:tcPr>
            <w:tcW w:w="5130" w:type="dxa"/>
            <w:shd w:val="clear" w:color="auto" w:fill="EEEEED" w:themeFill="background2"/>
            <w:vAlign w:val="center"/>
          </w:tcPr>
          <w:p w14:paraId="74392BB5" w14:textId="272A4B13" w:rsidR="00B24273" w:rsidRPr="00B24273" w:rsidRDefault="00B24273" w:rsidP="00B24273">
            <w:pPr>
              <w:spacing w:before="120" w:after="120"/>
              <w:rPr>
                <w:rFonts w:ascii="Roboto" w:hAnsi="Roboto"/>
              </w:rPr>
            </w:pPr>
            <w:r w:rsidRPr="00B24273">
              <w:rPr>
                <w:rFonts w:ascii="Roboto" w:hAnsi="Roboto"/>
              </w:rPr>
              <w:t>Uses the established data classification levels (e.g., Public, Internal, Confidential, Restricted) to determine the AI system's overall risk tier and required scrutiny.</w:t>
            </w:r>
          </w:p>
        </w:tc>
      </w:tr>
      <w:tr w:rsidR="00B24273" w14:paraId="5CA9EF28" w14:textId="77777777" w:rsidTr="008818A6">
        <w:tc>
          <w:tcPr>
            <w:tcW w:w="1975" w:type="dxa"/>
            <w:shd w:val="clear" w:color="auto" w:fill="FEF6E2" w:themeFill="accent5" w:themeFillTint="33"/>
            <w:vAlign w:val="center"/>
          </w:tcPr>
          <w:p w14:paraId="748E1660" w14:textId="48C73713" w:rsidR="00B24273" w:rsidRPr="00B24273" w:rsidRDefault="00B24273" w:rsidP="00B24273">
            <w:pPr>
              <w:spacing w:before="120" w:after="120"/>
              <w:rPr>
                <w:rFonts w:ascii="Roboto" w:hAnsi="Roboto"/>
              </w:rPr>
            </w:pPr>
            <w:r w:rsidRPr="00B24273">
              <w:rPr>
                <w:rFonts w:ascii="Roboto" w:hAnsi="Roboto" w:cs="Arial"/>
                <w:color w:val="000000"/>
              </w:rPr>
              <w:lastRenderedPageBreak/>
              <w:t>Data Quality Management</w:t>
            </w:r>
          </w:p>
        </w:tc>
        <w:tc>
          <w:tcPr>
            <w:tcW w:w="4500" w:type="dxa"/>
            <w:shd w:val="clear" w:color="auto" w:fill="EEEEED" w:themeFill="background2"/>
            <w:vAlign w:val="center"/>
          </w:tcPr>
          <w:p w14:paraId="09FD5FCF" w14:textId="2E44D2BD" w:rsidR="00B24273" w:rsidRPr="00B24273" w:rsidRDefault="00B24273" w:rsidP="00B24273">
            <w:pPr>
              <w:spacing w:before="120" w:after="120"/>
              <w:rPr>
                <w:rFonts w:ascii="Roboto" w:hAnsi="Roboto"/>
              </w:rPr>
            </w:pPr>
            <w:r w:rsidRPr="00B24273">
              <w:rPr>
                <w:rFonts w:ascii="Roboto" w:hAnsi="Roboto"/>
              </w:rPr>
              <w:t>Defining, monitoring, and improving the accuracy, completeness, consistency, and timeliness of data throughout its lifecycle.</w:t>
            </w:r>
          </w:p>
        </w:tc>
        <w:tc>
          <w:tcPr>
            <w:tcW w:w="810" w:type="dxa"/>
            <w:tcBorders>
              <w:top w:val="nil"/>
              <w:bottom w:val="nil"/>
            </w:tcBorders>
          </w:tcPr>
          <w:p w14:paraId="58513049" w14:textId="1D5CE46A" w:rsidR="00B24273" w:rsidRPr="00B24273" w:rsidRDefault="00236730" w:rsidP="00236730">
            <w:pPr>
              <w:spacing w:before="600" w:after="120"/>
              <w:rPr>
                <w:rFonts w:ascii="Roboto" w:hAnsi="Roboto"/>
              </w:rPr>
            </w:pPr>
            <w:r w:rsidRPr="00B24273">
              <w:rPr>
                <w:rFonts w:ascii="Roboto" w:hAnsi="Roboto"/>
                <w:noProof/>
              </w:rPr>
              <w:drawing>
                <wp:inline distT="0" distB="0" distL="0" distR="0" wp14:anchorId="0FB38290" wp14:editId="138150B2">
                  <wp:extent cx="340242" cy="340242"/>
                  <wp:effectExtent l="0" t="0" r="3175" b="0"/>
                  <wp:docPr id="2279175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1758"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3DB6412D" w14:textId="303DB092" w:rsidR="00B24273" w:rsidRPr="00B24273" w:rsidRDefault="00B24273" w:rsidP="00B24273">
            <w:pPr>
              <w:spacing w:before="120" w:after="120"/>
              <w:rPr>
                <w:rFonts w:ascii="Roboto" w:hAnsi="Roboto"/>
              </w:rPr>
            </w:pPr>
            <w:r w:rsidRPr="00B24273">
              <w:rPr>
                <w:rFonts w:ascii="Roboto" w:hAnsi="Roboto"/>
              </w:rPr>
              <w:t>Model Input Data Vetting</w:t>
            </w:r>
          </w:p>
        </w:tc>
        <w:tc>
          <w:tcPr>
            <w:tcW w:w="5130" w:type="dxa"/>
            <w:shd w:val="clear" w:color="auto" w:fill="EEEEED" w:themeFill="background2"/>
            <w:vAlign w:val="center"/>
          </w:tcPr>
          <w:p w14:paraId="13EF4154" w14:textId="1C8EE502" w:rsidR="00B24273" w:rsidRPr="00B24273" w:rsidRDefault="00B24273" w:rsidP="00B24273">
            <w:pPr>
              <w:spacing w:before="120" w:after="120"/>
              <w:rPr>
                <w:rFonts w:ascii="Roboto" w:hAnsi="Roboto"/>
              </w:rPr>
            </w:pPr>
            <w:r w:rsidRPr="00B24273">
              <w:rPr>
                <w:rFonts w:ascii="Roboto" w:hAnsi="Roboto"/>
              </w:rPr>
              <w:t>Ensures the data used for training and operating the AI system meets quality standards (completeness, accuracy, timeliness) and is fit for its intended, ethical use.</w:t>
            </w:r>
          </w:p>
        </w:tc>
      </w:tr>
      <w:tr w:rsidR="00B24273" w14:paraId="1C7D684B" w14:textId="77777777" w:rsidTr="008818A6">
        <w:tc>
          <w:tcPr>
            <w:tcW w:w="1975" w:type="dxa"/>
            <w:shd w:val="clear" w:color="auto" w:fill="FEF6E2" w:themeFill="accent5" w:themeFillTint="33"/>
            <w:vAlign w:val="center"/>
          </w:tcPr>
          <w:p w14:paraId="7E48C1D8" w14:textId="1D98B204" w:rsidR="00B24273" w:rsidRPr="00B24273" w:rsidRDefault="00B24273" w:rsidP="00B24273">
            <w:pPr>
              <w:spacing w:before="120" w:after="120"/>
              <w:rPr>
                <w:rFonts w:ascii="Roboto" w:hAnsi="Roboto"/>
              </w:rPr>
            </w:pPr>
            <w:r w:rsidRPr="00B24273">
              <w:rPr>
                <w:rFonts w:ascii="Roboto" w:hAnsi="Roboto" w:cs="Arial"/>
                <w:color w:val="000000"/>
              </w:rPr>
              <w:t>Data Lifecycle Management &amp; Audit</w:t>
            </w:r>
          </w:p>
        </w:tc>
        <w:tc>
          <w:tcPr>
            <w:tcW w:w="4500" w:type="dxa"/>
            <w:shd w:val="clear" w:color="auto" w:fill="EEEEED" w:themeFill="background2"/>
            <w:vAlign w:val="center"/>
          </w:tcPr>
          <w:p w14:paraId="48418663" w14:textId="215571B5" w:rsidR="00B24273" w:rsidRPr="00B24273" w:rsidRDefault="00B24273" w:rsidP="00B24273">
            <w:pPr>
              <w:spacing w:before="120" w:after="120"/>
              <w:rPr>
                <w:rFonts w:ascii="Roboto" w:hAnsi="Roboto"/>
              </w:rPr>
            </w:pPr>
            <w:r w:rsidRPr="00B24273">
              <w:rPr>
                <w:rFonts w:ascii="Roboto" w:hAnsi="Roboto"/>
              </w:rPr>
              <w:t>Establishing policies and tools for the capture, storage, movement, use, and destruction of data, and ensuring a verifiable audit trail.</w:t>
            </w:r>
          </w:p>
        </w:tc>
        <w:tc>
          <w:tcPr>
            <w:tcW w:w="810" w:type="dxa"/>
            <w:tcBorders>
              <w:top w:val="nil"/>
              <w:bottom w:val="nil"/>
            </w:tcBorders>
          </w:tcPr>
          <w:p w14:paraId="14CD54D1" w14:textId="2DDF9823" w:rsidR="00B24273" w:rsidRPr="00B24273" w:rsidRDefault="00236730" w:rsidP="00236730">
            <w:pPr>
              <w:spacing w:before="480" w:after="120"/>
              <w:rPr>
                <w:rFonts w:ascii="Roboto" w:hAnsi="Roboto"/>
              </w:rPr>
            </w:pPr>
            <w:r w:rsidRPr="00B24273">
              <w:rPr>
                <w:rFonts w:ascii="Roboto" w:hAnsi="Roboto"/>
                <w:noProof/>
              </w:rPr>
              <w:drawing>
                <wp:inline distT="0" distB="0" distL="0" distR="0" wp14:anchorId="75DC51D3" wp14:editId="630168DF">
                  <wp:extent cx="340242" cy="340242"/>
                  <wp:effectExtent l="0" t="0" r="3175" b="0"/>
                  <wp:docPr id="1324998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989"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243B8907" w14:textId="49AB9200" w:rsidR="00B24273" w:rsidRPr="00B24273" w:rsidRDefault="00B24273" w:rsidP="00B24273">
            <w:pPr>
              <w:spacing w:before="120" w:after="120"/>
              <w:rPr>
                <w:rFonts w:ascii="Roboto" w:hAnsi="Roboto"/>
              </w:rPr>
            </w:pPr>
            <w:r w:rsidRPr="00B24273">
              <w:rPr>
                <w:rFonts w:ascii="Roboto" w:hAnsi="Roboto"/>
              </w:rPr>
              <w:t>Continuous Performance Monitoring</w:t>
            </w:r>
          </w:p>
        </w:tc>
        <w:tc>
          <w:tcPr>
            <w:tcW w:w="5130" w:type="dxa"/>
            <w:shd w:val="clear" w:color="auto" w:fill="EEEEED" w:themeFill="background2"/>
            <w:vAlign w:val="center"/>
          </w:tcPr>
          <w:p w14:paraId="1B04A6BD" w14:textId="30F42DAF" w:rsidR="00B24273" w:rsidRPr="00B24273" w:rsidRDefault="00B24273" w:rsidP="00B24273">
            <w:pPr>
              <w:spacing w:before="120" w:after="120"/>
              <w:rPr>
                <w:rFonts w:ascii="Roboto" w:hAnsi="Roboto"/>
              </w:rPr>
            </w:pPr>
            <w:r w:rsidRPr="00B24273">
              <w:rPr>
                <w:rFonts w:ascii="Roboto" w:hAnsi="Roboto"/>
              </w:rPr>
              <w:t>Utilizes existing monitoring and auditing tools to track key metrics like Model Drift and Data Drift, treating the AI output as a critical data stream to be validated.</w:t>
            </w:r>
          </w:p>
        </w:tc>
      </w:tr>
      <w:tr w:rsidR="00B24273" w14:paraId="37699937" w14:textId="77777777" w:rsidTr="008818A6">
        <w:tc>
          <w:tcPr>
            <w:tcW w:w="1975" w:type="dxa"/>
            <w:shd w:val="clear" w:color="auto" w:fill="FEF6E2" w:themeFill="accent5" w:themeFillTint="33"/>
            <w:vAlign w:val="center"/>
          </w:tcPr>
          <w:p w14:paraId="1216D19A" w14:textId="05F1FC54" w:rsidR="00B24273" w:rsidRPr="00B24273" w:rsidRDefault="00B24273" w:rsidP="00B24273">
            <w:pPr>
              <w:spacing w:before="120" w:after="120"/>
              <w:rPr>
                <w:rFonts w:ascii="Roboto" w:hAnsi="Roboto"/>
              </w:rPr>
            </w:pPr>
            <w:r w:rsidRPr="00B24273">
              <w:rPr>
                <w:rFonts w:ascii="Roboto" w:hAnsi="Roboto" w:cs="Arial"/>
                <w:color w:val="000000"/>
              </w:rPr>
              <w:t>Data Ethics &amp; Policy Enforcement</w:t>
            </w:r>
          </w:p>
        </w:tc>
        <w:tc>
          <w:tcPr>
            <w:tcW w:w="4500" w:type="dxa"/>
            <w:shd w:val="clear" w:color="auto" w:fill="EEEEED" w:themeFill="background2"/>
            <w:vAlign w:val="center"/>
          </w:tcPr>
          <w:p w14:paraId="1073B7F2" w14:textId="5F114442" w:rsidR="00B24273" w:rsidRPr="00B24273" w:rsidRDefault="00B24273" w:rsidP="00B24273">
            <w:pPr>
              <w:spacing w:before="120" w:after="120"/>
              <w:rPr>
                <w:rFonts w:ascii="Roboto" w:hAnsi="Roboto"/>
              </w:rPr>
            </w:pPr>
            <w:r w:rsidRPr="00B24273">
              <w:rPr>
                <w:rFonts w:ascii="Roboto" w:hAnsi="Roboto"/>
              </w:rPr>
              <w:t>Establishing and enforcing principles, policies, and standards related to ethical collection, use, and sharing of data to prevent harm and bias.</w:t>
            </w:r>
          </w:p>
        </w:tc>
        <w:tc>
          <w:tcPr>
            <w:tcW w:w="810" w:type="dxa"/>
            <w:tcBorders>
              <w:top w:val="nil"/>
              <w:bottom w:val="nil"/>
            </w:tcBorders>
          </w:tcPr>
          <w:p w14:paraId="42647ED4" w14:textId="74ED2AD4" w:rsidR="00B24273" w:rsidRPr="00B24273" w:rsidRDefault="00236730" w:rsidP="00236730">
            <w:pPr>
              <w:spacing w:before="480" w:after="120"/>
              <w:rPr>
                <w:rFonts w:ascii="Roboto" w:hAnsi="Roboto"/>
              </w:rPr>
            </w:pPr>
            <w:r w:rsidRPr="00B24273">
              <w:rPr>
                <w:rFonts w:ascii="Roboto" w:hAnsi="Roboto"/>
                <w:noProof/>
              </w:rPr>
              <w:drawing>
                <wp:inline distT="0" distB="0" distL="0" distR="0" wp14:anchorId="4990EF2A" wp14:editId="4821134B">
                  <wp:extent cx="340242" cy="340242"/>
                  <wp:effectExtent l="0" t="0" r="3175" b="0"/>
                  <wp:docPr id="144777562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75629"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24626289" w14:textId="560CF658" w:rsidR="00B24273" w:rsidRPr="00B24273" w:rsidRDefault="00B24273" w:rsidP="00B24273">
            <w:pPr>
              <w:spacing w:before="120" w:after="120"/>
              <w:rPr>
                <w:rFonts w:ascii="Roboto" w:hAnsi="Roboto"/>
              </w:rPr>
            </w:pPr>
            <w:r w:rsidRPr="00B24273">
              <w:rPr>
                <w:rFonts w:ascii="Roboto" w:hAnsi="Roboto"/>
              </w:rPr>
              <w:t>Bias &amp; Fairness Auditing</w:t>
            </w:r>
          </w:p>
        </w:tc>
        <w:tc>
          <w:tcPr>
            <w:tcW w:w="5130" w:type="dxa"/>
            <w:shd w:val="clear" w:color="auto" w:fill="EEEEED" w:themeFill="background2"/>
            <w:vAlign w:val="center"/>
          </w:tcPr>
          <w:p w14:paraId="6D6ADB3D" w14:textId="22894FA5" w:rsidR="00B24273" w:rsidRPr="00B24273" w:rsidRDefault="00B24273" w:rsidP="00B24273">
            <w:pPr>
              <w:spacing w:before="120" w:after="120"/>
              <w:rPr>
                <w:rFonts w:ascii="Roboto" w:hAnsi="Roboto"/>
              </w:rPr>
            </w:pPr>
            <w:r w:rsidRPr="00B24273">
              <w:rPr>
                <w:rFonts w:ascii="Roboto" w:hAnsi="Roboto"/>
              </w:rPr>
              <w:t>Ensures the AI system's outcomes comply with the Commonwealth's principles regarding equity and non-discrimination, directly enforcing the ethical use of state data.</w:t>
            </w:r>
          </w:p>
        </w:tc>
      </w:tr>
      <w:tr w:rsidR="00B24273" w14:paraId="07B4AC3D" w14:textId="77777777" w:rsidTr="008818A6">
        <w:tc>
          <w:tcPr>
            <w:tcW w:w="1975" w:type="dxa"/>
            <w:shd w:val="clear" w:color="auto" w:fill="FEF6E2" w:themeFill="accent5" w:themeFillTint="33"/>
            <w:vAlign w:val="center"/>
          </w:tcPr>
          <w:p w14:paraId="692795BD" w14:textId="2F69D0D3" w:rsidR="00B24273" w:rsidRPr="00B24273" w:rsidRDefault="00B24273" w:rsidP="00B24273">
            <w:pPr>
              <w:spacing w:before="120" w:after="120"/>
              <w:rPr>
                <w:rFonts w:ascii="Roboto" w:hAnsi="Roboto"/>
              </w:rPr>
            </w:pPr>
            <w:r w:rsidRPr="00B24273">
              <w:rPr>
                <w:rFonts w:ascii="Roboto" w:hAnsi="Roboto" w:cs="Arial"/>
                <w:color w:val="000000"/>
              </w:rPr>
              <w:t>Data Privacy Impact Assessment (DPIA)</w:t>
            </w:r>
          </w:p>
        </w:tc>
        <w:tc>
          <w:tcPr>
            <w:tcW w:w="4500" w:type="dxa"/>
            <w:shd w:val="clear" w:color="auto" w:fill="EEEEED" w:themeFill="background2"/>
            <w:vAlign w:val="center"/>
          </w:tcPr>
          <w:p w14:paraId="2EA86DCB" w14:textId="72509E5E" w:rsidR="00B24273" w:rsidRPr="00B24273" w:rsidRDefault="00B24273" w:rsidP="00B24273">
            <w:pPr>
              <w:spacing w:before="120" w:after="120"/>
              <w:rPr>
                <w:rFonts w:ascii="Roboto" w:hAnsi="Roboto"/>
              </w:rPr>
            </w:pPr>
            <w:r w:rsidRPr="00B24273">
              <w:rPr>
                <w:rFonts w:ascii="Roboto" w:hAnsi="Roboto"/>
              </w:rPr>
              <w:t>A formal process to identify and minimize the data protection and privacy risks of a new project or system.</w:t>
            </w:r>
          </w:p>
        </w:tc>
        <w:tc>
          <w:tcPr>
            <w:tcW w:w="810" w:type="dxa"/>
            <w:tcBorders>
              <w:top w:val="nil"/>
              <w:bottom w:val="nil"/>
            </w:tcBorders>
          </w:tcPr>
          <w:p w14:paraId="0E88E170" w14:textId="15B1E934" w:rsidR="00B24273" w:rsidRPr="00B24273" w:rsidRDefault="00236730" w:rsidP="00236730">
            <w:pPr>
              <w:spacing w:before="480" w:after="120"/>
              <w:rPr>
                <w:rFonts w:ascii="Roboto" w:hAnsi="Roboto"/>
              </w:rPr>
            </w:pPr>
            <w:r w:rsidRPr="00B24273">
              <w:rPr>
                <w:rFonts w:ascii="Roboto" w:hAnsi="Roboto"/>
                <w:noProof/>
              </w:rPr>
              <w:drawing>
                <wp:inline distT="0" distB="0" distL="0" distR="0" wp14:anchorId="654C3220" wp14:editId="37EE0DBF">
                  <wp:extent cx="340242" cy="340242"/>
                  <wp:effectExtent l="0" t="0" r="3175" b="0"/>
                  <wp:docPr id="98787239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72390"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343D2D40" w14:textId="4A5380D5" w:rsidR="00B24273" w:rsidRPr="00B24273" w:rsidRDefault="00B24273" w:rsidP="00B24273">
            <w:pPr>
              <w:spacing w:before="120" w:after="120"/>
              <w:rPr>
                <w:rFonts w:ascii="Roboto" w:hAnsi="Roboto"/>
              </w:rPr>
            </w:pPr>
            <w:r w:rsidRPr="00B24273">
              <w:rPr>
                <w:rFonts w:ascii="Roboto" w:hAnsi="Roboto"/>
              </w:rPr>
              <w:t>Algorithmic Impact Assessment (AIA)</w:t>
            </w:r>
          </w:p>
        </w:tc>
        <w:tc>
          <w:tcPr>
            <w:tcW w:w="5130" w:type="dxa"/>
            <w:shd w:val="clear" w:color="auto" w:fill="EEEEED" w:themeFill="background2"/>
            <w:vAlign w:val="center"/>
          </w:tcPr>
          <w:p w14:paraId="29FDC67E" w14:textId="7319A6C4" w:rsidR="00B24273" w:rsidRPr="00B24273" w:rsidRDefault="00B24273" w:rsidP="00B24273">
            <w:pPr>
              <w:spacing w:before="120" w:after="120"/>
              <w:rPr>
                <w:rFonts w:ascii="Roboto" w:hAnsi="Roboto"/>
              </w:rPr>
            </w:pPr>
            <w:r w:rsidRPr="00B24273">
              <w:rPr>
                <w:rFonts w:ascii="Roboto" w:hAnsi="Roboto"/>
              </w:rPr>
              <w:t>Extends the DPIA process to specifically assess potential algorithmic harm, bias, and impact on citizen rights and services.</w:t>
            </w:r>
          </w:p>
        </w:tc>
      </w:tr>
      <w:tr w:rsidR="00B24273" w14:paraId="32F4D7E0" w14:textId="77777777" w:rsidTr="008818A6">
        <w:tc>
          <w:tcPr>
            <w:tcW w:w="1975" w:type="dxa"/>
            <w:shd w:val="clear" w:color="auto" w:fill="FEF6E2" w:themeFill="accent5" w:themeFillTint="33"/>
            <w:vAlign w:val="center"/>
          </w:tcPr>
          <w:p w14:paraId="3940592E" w14:textId="097CEBDF" w:rsidR="00B24273" w:rsidRPr="00B24273" w:rsidRDefault="00B24273" w:rsidP="00B24273">
            <w:pPr>
              <w:spacing w:before="120" w:after="120"/>
              <w:rPr>
                <w:rFonts w:ascii="Roboto" w:hAnsi="Roboto"/>
              </w:rPr>
            </w:pPr>
            <w:r w:rsidRPr="00B24273">
              <w:rPr>
                <w:rFonts w:ascii="Roboto" w:hAnsi="Roboto" w:cs="Arial"/>
                <w:color w:val="000000"/>
              </w:rPr>
              <w:t>Data Retention &amp; Disposal</w:t>
            </w:r>
          </w:p>
        </w:tc>
        <w:tc>
          <w:tcPr>
            <w:tcW w:w="4500" w:type="dxa"/>
            <w:shd w:val="clear" w:color="auto" w:fill="EEEEED" w:themeFill="background2"/>
            <w:vAlign w:val="center"/>
          </w:tcPr>
          <w:p w14:paraId="74AA1C50" w14:textId="19D87F20" w:rsidR="00B24273" w:rsidRPr="00B24273" w:rsidRDefault="00B24273" w:rsidP="00B24273">
            <w:pPr>
              <w:spacing w:before="120" w:after="120"/>
              <w:rPr>
                <w:rFonts w:ascii="Roboto" w:hAnsi="Roboto"/>
              </w:rPr>
            </w:pPr>
            <w:r w:rsidRPr="00B24273">
              <w:rPr>
                <w:rFonts w:ascii="Roboto" w:hAnsi="Roboto"/>
              </w:rPr>
              <w:t>Defining policies for how long data must be kept to meet legal/business needs and how it must be securely erased once requirements expire.</w:t>
            </w:r>
          </w:p>
        </w:tc>
        <w:tc>
          <w:tcPr>
            <w:tcW w:w="810" w:type="dxa"/>
            <w:tcBorders>
              <w:top w:val="nil"/>
              <w:bottom w:val="nil"/>
            </w:tcBorders>
          </w:tcPr>
          <w:p w14:paraId="3D0D2AC4" w14:textId="039A29E0" w:rsidR="00B24273" w:rsidRPr="00B24273" w:rsidRDefault="00236730" w:rsidP="00B24273">
            <w:pPr>
              <w:spacing w:before="360" w:after="120"/>
              <w:rPr>
                <w:rFonts w:ascii="Roboto" w:hAnsi="Roboto"/>
              </w:rPr>
            </w:pPr>
            <w:r w:rsidRPr="00B24273">
              <w:rPr>
                <w:rFonts w:ascii="Roboto" w:hAnsi="Roboto"/>
                <w:noProof/>
              </w:rPr>
              <w:drawing>
                <wp:inline distT="0" distB="0" distL="0" distR="0" wp14:anchorId="4C4527E7" wp14:editId="429228A3">
                  <wp:extent cx="340242" cy="340242"/>
                  <wp:effectExtent l="0" t="0" r="3175" b="0"/>
                  <wp:docPr id="34966770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67707"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3D2E64DD" w14:textId="008256AE" w:rsidR="00B24273" w:rsidRPr="00B24273" w:rsidRDefault="00B24273" w:rsidP="00B24273">
            <w:pPr>
              <w:spacing w:before="120" w:after="120"/>
              <w:rPr>
                <w:rFonts w:ascii="Roboto" w:hAnsi="Roboto"/>
              </w:rPr>
            </w:pPr>
            <w:r w:rsidRPr="00B24273">
              <w:rPr>
                <w:rFonts w:ascii="Roboto" w:hAnsi="Roboto"/>
              </w:rPr>
              <w:t>Model Retirement &amp; Archiving</w:t>
            </w:r>
          </w:p>
        </w:tc>
        <w:tc>
          <w:tcPr>
            <w:tcW w:w="5130" w:type="dxa"/>
            <w:shd w:val="clear" w:color="auto" w:fill="EEEEED" w:themeFill="background2"/>
            <w:vAlign w:val="center"/>
          </w:tcPr>
          <w:p w14:paraId="37E04CF3" w14:textId="743C1815" w:rsidR="00B24273" w:rsidRPr="00B24273" w:rsidRDefault="00B24273" w:rsidP="00B24273">
            <w:pPr>
              <w:spacing w:before="120" w:after="120"/>
              <w:rPr>
                <w:rFonts w:ascii="Roboto" w:hAnsi="Roboto"/>
              </w:rPr>
            </w:pPr>
            <w:r w:rsidRPr="00B24273">
              <w:rPr>
                <w:rFonts w:ascii="Roboto" w:hAnsi="Roboto"/>
              </w:rPr>
              <w:t>Follows established state policies for the secure storage or final disposal of the model, associated training data, and audit logs.</w:t>
            </w:r>
          </w:p>
        </w:tc>
      </w:tr>
    </w:tbl>
    <w:p w14:paraId="13A85F8C" w14:textId="77777777" w:rsidR="007F12B4" w:rsidRDefault="007F12B4"/>
    <w:sectPr w:rsidR="007F12B4" w:rsidSect="008818A6">
      <w:footerReference w:type="default" r:id="rId10"/>
      <w:headerReference w:type="first" r:id="rId11"/>
      <w:foot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4924" w14:textId="77777777" w:rsidR="00F33EF5" w:rsidRDefault="00F33EF5" w:rsidP="00472E0A">
      <w:pPr>
        <w:spacing w:after="0" w:line="240" w:lineRule="auto"/>
      </w:pPr>
      <w:r>
        <w:separator/>
      </w:r>
    </w:p>
  </w:endnote>
  <w:endnote w:type="continuationSeparator" w:id="0">
    <w:p w14:paraId="6C3CBAAF" w14:textId="77777777" w:rsidR="00F33EF5" w:rsidRDefault="00F33EF5" w:rsidP="0047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918842"/>
      <w:docPartObj>
        <w:docPartGallery w:val="Page Numbers (Bottom of Page)"/>
        <w:docPartUnique/>
      </w:docPartObj>
    </w:sdtPr>
    <w:sdtEndPr>
      <w:rPr>
        <w:noProof/>
      </w:rPr>
    </w:sdtEndPr>
    <w:sdtContent>
      <w:p w14:paraId="36C86C2B" w14:textId="56423B56" w:rsidR="00472E0A" w:rsidRDefault="00472E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8AD2D" w14:textId="77777777" w:rsidR="00472E0A" w:rsidRDefault="00472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0784"/>
      <w:docPartObj>
        <w:docPartGallery w:val="Page Numbers (Bottom of Page)"/>
        <w:docPartUnique/>
      </w:docPartObj>
    </w:sdtPr>
    <w:sdtEndPr>
      <w:rPr>
        <w:noProof/>
      </w:rPr>
    </w:sdtEndPr>
    <w:sdtContent>
      <w:p w14:paraId="0B16D889" w14:textId="5BCF3E51" w:rsidR="00472E0A" w:rsidRDefault="00472E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C41D8" w14:textId="77777777" w:rsidR="00472E0A" w:rsidRDefault="00472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0DCD" w14:textId="77777777" w:rsidR="00F33EF5" w:rsidRDefault="00F33EF5" w:rsidP="00472E0A">
      <w:pPr>
        <w:spacing w:after="0" w:line="240" w:lineRule="auto"/>
      </w:pPr>
      <w:r>
        <w:separator/>
      </w:r>
    </w:p>
  </w:footnote>
  <w:footnote w:type="continuationSeparator" w:id="0">
    <w:p w14:paraId="28977D96" w14:textId="77777777" w:rsidR="00F33EF5" w:rsidRDefault="00F33EF5" w:rsidP="00472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D692" w14:textId="7CAB844D" w:rsidR="00472E0A" w:rsidRDefault="00472E0A">
    <w:pPr>
      <w:pStyle w:val="Header"/>
    </w:pPr>
    <w:r>
      <w:rPr>
        <w:noProof/>
      </w:rPr>
      <w:drawing>
        <wp:inline distT="0" distB="0" distL="0" distR="0" wp14:anchorId="5AFF666C" wp14:editId="47FDCE91">
          <wp:extent cx="2281278" cy="552893"/>
          <wp:effectExtent l="0" t="0" r="5080" b="0"/>
          <wp:docPr id="106425116"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5116" name="Picture 4"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7007" cy="556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06F8F"/>
    <w:multiLevelType w:val="hybridMultilevel"/>
    <w:tmpl w:val="E3CEFEC8"/>
    <w:lvl w:ilvl="0" w:tplc="FD8695FA">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47B6E89"/>
    <w:multiLevelType w:val="hybridMultilevel"/>
    <w:tmpl w:val="D77C374C"/>
    <w:lvl w:ilvl="0" w:tplc="FDA66EB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245F52"/>
    <w:multiLevelType w:val="multilevel"/>
    <w:tmpl w:val="20D27D66"/>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0960004">
    <w:abstractNumId w:val="0"/>
  </w:num>
  <w:num w:numId="2" w16cid:durableId="1249345496">
    <w:abstractNumId w:val="1"/>
  </w:num>
  <w:num w:numId="3" w16cid:durableId="1094932577">
    <w:abstractNumId w:val="0"/>
  </w:num>
  <w:num w:numId="4" w16cid:durableId="197737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8E"/>
    <w:rsid w:val="00033997"/>
    <w:rsid w:val="00236730"/>
    <w:rsid w:val="00330CEC"/>
    <w:rsid w:val="003D488E"/>
    <w:rsid w:val="00472E0A"/>
    <w:rsid w:val="00571615"/>
    <w:rsid w:val="007F12B4"/>
    <w:rsid w:val="008818A6"/>
    <w:rsid w:val="008E009A"/>
    <w:rsid w:val="0094129B"/>
    <w:rsid w:val="00A51DE8"/>
    <w:rsid w:val="00B24273"/>
    <w:rsid w:val="00C41965"/>
    <w:rsid w:val="00C603DF"/>
    <w:rsid w:val="00F3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39C4"/>
  <w15:chartTrackingRefBased/>
  <w15:docId w15:val="{9308B556-90B4-4CBD-AE57-319769E8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88E"/>
    <w:pPr>
      <w:keepNext/>
      <w:keepLines/>
      <w:spacing w:before="360" w:after="80"/>
      <w:outlineLvl w:val="0"/>
    </w:pPr>
    <w:rPr>
      <w:rFonts w:asciiTheme="majorHAnsi" w:eastAsiaTheme="majorEastAsia" w:hAnsiTheme="majorHAnsi" w:cstheme="majorBidi"/>
      <w:color w:val="054362" w:themeColor="accent1" w:themeShade="BF"/>
      <w:sz w:val="40"/>
      <w:szCs w:val="40"/>
    </w:rPr>
  </w:style>
  <w:style w:type="paragraph" w:styleId="Heading2">
    <w:name w:val="heading 2"/>
    <w:basedOn w:val="Normal"/>
    <w:next w:val="Normal"/>
    <w:link w:val="Heading2Char"/>
    <w:autoRedefine/>
    <w:uiPriority w:val="9"/>
    <w:unhideWhenUsed/>
    <w:qFormat/>
    <w:rsid w:val="007F12B4"/>
    <w:pPr>
      <w:keepNext/>
      <w:keepLines/>
      <w:spacing w:before="160" w:after="80" w:line="240" w:lineRule="auto"/>
      <w:outlineLvl w:val="1"/>
    </w:pPr>
    <w:rPr>
      <w:rFonts w:ascii="Montserrat" w:eastAsiaTheme="majorEastAsia" w:hAnsi="Montserrat" w:cstheme="majorBidi"/>
      <w:b/>
      <w:color w:val="173055" w:themeColor="text1"/>
      <w:sz w:val="36"/>
      <w:szCs w:val="32"/>
    </w:rPr>
  </w:style>
  <w:style w:type="paragraph" w:styleId="Heading3">
    <w:name w:val="heading 3"/>
    <w:basedOn w:val="Normal"/>
    <w:next w:val="Normal"/>
    <w:link w:val="Heading3Char"/>
    <w:autoRedefine/>
    <w:uiPriority w:val="9"/>
    <w:unhideWhenUsed/>
    <w:qFormat/>
    <w:rsid w:val="007F12B4"/>
    <w:pPr>
      <w:keepNext/>
      <w:keepLines/>
      <w:spacing w:before="160" w:after="80" w:line="240" w:lineRule="auto"/>
      <w:outlineLvl w:val="2"/>
    </w:pPr>
    <w:rPr>
      <w:rFonts w:ascii="Montserrat" w:eastAsiaTheme="majorEastAsia" w:hAnsi="Montserrat" w:cstheme="majorBidi"/>
      <w:b/>
      <w:sz w:val="32"/>
      <w:szCs w:val="28"/>
    </w:rPr>
  </w:style>
  <w:style w:type="paragraph" w:styleId="Heading4">
    <w:name w:val="heading 4"/>
    <w:basedOn w:val="Normal"/>
    <w:next w:val="Normal"/>
    <w:link w:val="Heading4Char"/>
    <w:autoRedefine/>
    <w:uiPriority w:val="9"/>
    <w:unhideWhenUsed/>
    <w:qFormat/>
    <w:rsid w:val="007F12B4"/>
    <w:pPr>
      <w:keepNext/>
      <w:keepLines/>
      <w:spacing w:before="80" w:after="40" w:line="240" w:lineRule="auto"/>
      <w:outlineLvl w:val="3"/>
    </w:pPr>
    <w:rPr>
      <w:rFonts w:ascii="Montserrat" w:eastAsiaTheme="majorEastAsia" w:hAnsi="Montserrat" w:cstheme="majorBidi"/>
      <w:b/>
      <w:iCs/>
      <w:color w:val="173055" w:themeColor="text1"/>
      <w:sz w:val="28"/>
    </w:rPr>
  </w:style>
  <w:style w:type="paragraph" w:styleId="Heading5">
    <w:name w:val="heading 5"/>
    <w:basedOn w:val="Normal"/>
    <w:next w:val="Normal"/>
    <w:link w:val="Heading5Char"/>
    <w:uiPriority w:val="9"/>
    <w:semiHidden/>
    <w:unhideWhenUsed/>
    <w:qFormat/>
    <w:rsid w:val="003D488E"/>
    <w:pPr>
      <w:keepNext/>
      <w:keepLines/>
      <w:spacing w:before="80" w:after="40"/>
      <w:outlineLvl w:val="4"/>
    </w:pPr>
    <w:rPr>
      <w:rFonts w:eastAsiaTheme="majorEastAsia" w:cstheme="majorBidi"/>
      <w:color w:val="054362" w:themeColor="accent1" w:themeShade="BF"/>
    </w:rPr>
  </w:style>
  <w:style w:type="paragraph" w:styleId="Heading6">
    <w:name w:val="heading 6"/>
    <w:basedOn w:val="Normal"/>
    <w:next w:val="Normal"/>
    <w:link w:val="Heading6Char"/>
    <w:uiPriority w:val="9"/>
    <w:semiHidden/>
    <w:unhideWhenUsed/>
    <w:qFormat/>
    <w:rsid w:val="003D488E"/>
    <w:pPr>
      <w:keepNext/>
      <w:keepLines/>
      <w:spacing w:before="40" w:after="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3D488E"/>
    <w:pPr>
      <w:keepNext/>
      <w:keepLines/>
      <w:spacing w:before="40" w:after="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3D488E"/>
    <w:pPr>
      <w:keepNext/>
      <w:keepLines/>
      <w:spacing w:after="0"/>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3D488E"/>
    <w:pPr>
      <w:keepNext/>
      <w:keepLines/>
      <w:spacing w:after="0"/>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2B4"/>
    <w:rPr>
      <w:rFonts w:ascii="Montserrat" w:eastAsiaTheme="majorEastAsia" w:hAnsi="Montserrat" w:cstheme="majorBidi"/>
      <w:b/>
      <w:color w:val="173055" w:themeColor="text1"/>
      <w:sz w:val="36"/>
      <w:szCs w:val="32"/>
    </w:rPr>
  </w:style>
  <w:style w:type="character" w:customStyle="1" w:styleId="Heading3Char">
    <w:name w:val="Heading 3 Char"/>
    <w:basedOn w:val="DefaultParagraphFont"/>
    <w:link w:val="Heading3"/>
    <w:uiPriority w:val="9"/>
    <w:rsid w:val="007F12B4"/>
    <w:rPr>
      <w:rFonts w:ascii="Montserrat" w:eastAsiaTheme="majorEastAsia" w:hAnsi="Montserrat" w:cstheme="majorBidi"/>
      <w:b/>
      <w:sz w:val="32"/>
      <w:szCs w:val="28"/>
    </w:rPr>
  </w:style>
  <w:style w:type="character" w:customStyle="1" w:styleId="Heading4Char">
    <w:name w:val="Heading 4 Char"/>
    <w:basedOn w:val="DefaultParagraphFont"/>
    <w:link w:val="Heading4"/>
    <w:uiPriority w:val="9"/>
    <w:rsid w:val="007F12B4"/>
    <w:rPr>
      <w:rFonts w:ascii="Montserrat" w:eastAsiaTheme="majorEastAsia" w:hAnsi="Montserrat" w:cstheme="majorBidi"/>
      <w:b/>
      <w:iCs/>
      <w:color w:val="173055" w:themeColor="text1"/>
      <w:sz w:val="28"/>
    </w:rPr>
  </w:style>
  <w:style w:type="paragraph" w:styleId="BodyText">
    <w:name w:val="Body Text"/>
    <w:basedOn w:val="Normal"/>
    <w:link w:val="BodyTextChar"/>
    <w:autoRedefine/>
    <w:uiPriority w:val="1"/>
    <w:qFormat/>
    <w:rsid w:val="007F12B4"/>
    <w:pPr>
      <w:widowControl w:val="0"/>
      <w:spacing w:after="120" w:line="300" w:lineRule="exact"/>
    </w:pPr>
    <w:rPr>
      <w:rFonts w:ascii="Roboto" w:eastAsia="Verdana" w:hAnsi="Roboto"/>
      <w:szCs w:val="20"/>
    </w:rPr>
  </w:style>
  <w:style w:type="character" w:customStyle="1" w:styleId="BodyTextChar">
    <w:name w:val="Body Text Char"/>
    <w:basedOn w:val="DefaultParagraphFont"/>
    <w:link w:val="BodyText"/>
    <w:uiPriority w:val="1"/>
    <w:rsid w:val="007F12B4"/>
    <w:rPr>
      <w:rFonts w:ascii="Roboto" w:eastAsia="Verdana" w:hAnsi="Roboto"/>
      <w:szCs w:val="20"/>
    </w:rPr>
  </w:style>
  <w:style w:type="paragraph" w:customStyle="1" w:styleId="Bulletedlist">
    <w:name w:val="Bulleted list"/>
    <w:basedOn w:val="BodyText"/>
    <w:link w:val="BulletedlistChar"/>
    <w:autoRedefine/>
    <w:uiPriority w:val="1"/>
    <w:qFormat/>
    <w:rsid w:val="007F12B4"/>
    <w:pPr>
      <w:numPr>
        <w:numId w:val="3"/>
      </w:numPr>
    </w:pPr>
    <w:rPr>
      <w:szCs w:val="22"/>
    </w:rPr>
  </w:style>
  <w:style w:type="character" w:customStyle="1" w:styleId="BulletedlistChar">
    <w:name w:val="Bulleted list Char"/>
    <w:basedOn w:val="BodyTextChar"/>
    <w:link w:val="Bulletedlist"/>
    <w:uiPriority w:val="1"/>
    <w:rsid w:val="007F12B4"/>
    <w:rPr>
      <w:rFonts w:ascii="Roboto" w:eastAsia="Verdana" w:hAnsi="Roboto"/>
      <w:szCs w:val="22"/>
    </w:rPr>
  </w:style>
  <w:style w:type="paragraph" w:customStyle="1" w:styleId="Numberedlist">
    <w:name w:val="Numbered list"/>
    <w:basedOn w:val="BodyText"/>
    <w:link w:val="NumberedlistChar"/>
    <w:autoRedefine/>
    <w:uiPriority w:val="1"/>
    <w:qFormat/>
    <w:rsid w:val="007F12B4"/>
    <w:pPr>
      <w:numPr>
        <w:numId w:val="4"/>
      </w:numPr>
      <w:ind w:left="1080" w:hanging="360"/>
    </w:pPr>
  </w:style>
  <w:style w:type="character" w:customStyle="1" w:styleId="NumberedlistChar">
    <w:name w:val="Numbered list Char"/>
    <w:basedOn w:val="BodyTextChar"/>
    <w:link w:val="Numberedlist"/>
    <w:uiPriority w:val="1"/>
    <w:rsid w:val="007F12B4"/>
    <w:rPr>
      <w:rFonts w:ascii="Roboto" w:eastAsia="Verdana" w:hAnsi="Roboto"/>
      <w:szCs w:val="20"/>
    </w:rPr>
  </w:style>
  <w:style w:type="character" w:customStyle="1" w:styleId="Heading1Char">
    <w:name w:val="Heading 1 Char"/>
    <w:basedOn w:val="DefaultParagraphFont"/>
    <w:link w:val="Heading1"/>
    <w:uiPriority w:val="9"/>
    <w:rsid w:val="003D488E"/>
    <w:rPr>
      <w:rFonts w:asciiTheme="majorHAnsi" w:eastAsiaTheme="majorEastAsia" w:hAnsiTheme="majorHAnsi" w:cstheme="majorBidi"/>
      <w:color w:val="054362" w:themeColor="accent1" w:themeShade="BF"/>
      <w:sz w:val="40"/>
      <w:szCs w:val="40"/>
    </w:rPr>
  </w:style>
  <w:style w:type="character" w:customStyle="1" w:styleId="Heading5Char">
    <w:name w:val="Heading 5 Char"/>
    <w:basedOn w:val="DefaultParagraphFont"/>
    <w:link w:val="Heading5"/>
    <w:uiPriority w:val="9"/>
    <w:semiHidden/>
    <w:rsid w:val="003D488E"/>
    <w:rPr>
      <w:rFonts w:eastAsiaTheme="majorEastAsia" w:cstheme="majorBidi"/>
      <w:color w:val="054362" w:themeColor="accent1" w:themeShade="BF"/>
    </w:rPr>
  </w:style>
  <w:style w:type="character" w:customStyle="1" w:styleId="Heading6Char">
    <w:name w:val="Heading 6 Char"/>
    <w:basedOn w:val="DefaultParagraphFont"/>
    <w:link w:val="Heading6"/>
    <w:uiPriority w:val="9"/>
    <w:semiHidden/>
    <w:rsid w:val="003D488E"/>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3D488E"/>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3D488E"/>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3D488E"/>
    <w:rPr>
      <w:rFonts w:eastAsiaTheme="majorEastAsia" w:cstheme="majorBidi"/>
      <w:color w:val="244A85" w:themeColor="text1" w:themeTint="D8"/>
    </w:rPr>
  </w:style>
  <w:style w:type="paragraph" w:styleId="Title">
    <w:name w:val="Title"/>
    <w:basedOn w:val="Normal"/>
    <w:next w:val="Normal"/>
    <w:link w:val="TitleChar"/>
    <w:uiPriority w:val="10"/>
    <w:qFormat/>
    <w:rsid w:val="003D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88E"/>
    <w:pPr>
      <w:numPr>
        <w:ilvl w:val="1"/>
      </w:numPr>
    </w:pPr>
    <w:rPr>
      <w:rFonts w:eastAsiaTheme="majorEastAsia" w:cstheme="majorBidi"/>
      <w:color w:val="356DC3" w:themeColor="text1" w:themeTint="A6"/>
      <w:spacing w:val="15"/>
      <w:sz w:val="28"/>
      <w:szCs w:val="28"/>
    </w:rPr>
  </w:style>
  <w:style w:type="character" w:customStyle="1" w:styleId="SubtitleChar">
    <w:name w:val="Subtitle Char"/>
    <w:basedOn w:val="DefaultParagraphFont"/>
    <w:link w:val="Subtitle"/>
    <w:uiPriority w:val="11"/>
    <w:rsid w:val="003D488E"/>
    <w:rPr>
      <w:rFonts w:eastAsiaTheme="majorEastAsia" w:cstheme="majorBidi"/>
      <w:color w:val="356DC3" w:themeColor="text1" w:themeTint="A6"/>
      <w:spacing w:val="15"/>
      <w:sz w:val="28"/>
      <w:szCs w:val="28"/>
    </w:rPr>
  </w:style>
  <w:style w:type="paragraph" w:styleId="Quote">
    <w:name w:val="Quote"/>
    <w:basedOn w:val="Normal"/>
    <w:next w:val="Normal"/>
    <w:link w:val="QuoteChar"/>
    <w:uiPriority w:val="29"/>
    <w:qFormat/>
    <w:rsid w:val="003D488E"/>
    <w:pPr>
      <w:spacing w:before="160"/>
      <w:jc w:val="center"/>
    </w:pPr>
    <w:rPr>
      <w:i/>
      <w:iCs/>
      <w:color w:val="2C5CA4" w:themeColor="text1" w:themeTint="BF"/>
    </w:rPr>
  </w:style>
  <w:style w:type="character" w:customStyle="1" w:styleId="QuoteChar">
    <w:name w:val="Quote Char"/>
    <w:basedOn w:val="DefaultParagraphFont"/>
    <w:link w:val="Quote"/>
    <w:uiPriority w:val="29"/>
    <w:rsid w:val="003D488E"/>
    <w:rPr>
      <w:i/>
      <w:iCs/>
      <w:color w:val="2C5CA4" w:themeColor="text1" w:themeTint="BF"/>
    </w:rPr>
  </w:style>
  <w:style w:type="paragraph" w:styleId="ListParagraph">
    <w:name w:val="List Paragraph"/>
    <w:basedOn w:val="Normal"/>
    <w:uiPriority w:val="34"/>
    <w:qFormat/>
    <w:rsid w:val="003D488E"/>
    <w:pPr>
      <w:ind w:left="720"/>
      <w:contextualSpacing/>
    </w:pPr>
  </w:style>
  <w:style w:type="character" w:styleId="IntenseEmphasis">
    <w:name w:val="Intense Emphasis"/>
    <w:basedOn w:val="DefaultParagraphFont"/>
    <w:uiPriority w:val="21"/>
    <w:qFormat/>
    <w:rsid w:val="003D488E"/>
    <w:rPr>
      <w:i/>
      <w:iCs/>
      <w:color w:val="054362" w:themeColor="accent1" w:themeShade="BF"/>
    </w:rPr>
  </w:style>
  <w:style w:type="paragraph" w:styleId="IntenseQuote">
    <w:name w:val="Intense Quote"/>
    <w:basedOn w:val="Normal"/>
    <w:next w:val="Normal"/>
    <w:link w:val="IntenseQuoteChar"/>
    <w:uiPriority w:val="30"/>
    <w:qFormat/>
    <w:rsid w:val="003D488E"/>
    <w:pPr>
      <w:pBdr>
        <w:top w:val="single" w:sz="4" w:space="10" w:color="054362" w:themeColor="accent1" w:themeShade="BF"/>
        <w:bottom w:val="single" w:sz="4" w:space="10" w:color="054362" w:themeColor="accent1" w:themeShade="BF"/>
      </w:pBdr>
      <w:spacing w:before="360" w:after="360"/>
      <w:ind w:left="864" w:right="864"/>
      <w:jc w:val="center"/>
    </w:pPr>
    <w:rPr>
      <w:i/>
      <w:iCs/>
      <w:color w:val="054362" w:themeColor="accent1" w:themeShade="BF"/>
    </w:rPr>
  </w:style>
  <w:style w:type="character" w:customStyle="1" w:styleId="IntenseQuoteChar">
    <w:name w:val="Intense Quote Char"/>
    <w:basedOn w:val="DefaultParagraphFont"/>
    <w:link w:val="IntenseQuote"/>
    <w:uiPriority w:val="30"/>
    <w:rsid w:val="003D488E"/>
    <w:rPr>
      <w:i/>
      <w:iCs/>
      <w:color w:val="054362" w:themeColor="accent1" w:themeShade="BF"/>
    </w:rPr>
  </w:style>
  <w:style w:type="character" w:styleId="IntenseReference">
    <w:name w:val="Intense Reference"/>
    <w:basedOn w:val="DefaultParagraphFont"/>
    <w:uiPriority w:val="32"/>
    <w:qFormat/>
    <w:rsid w:val="003D488E"/>
    <w:rPr>
      <w:b/>
      <w:bCs/>
      <w:smallCaps/>
      <w:color w:val="054362" w:themeColor="accent1" w:themeShade="BF"/>
      <w:spacing w:val="5"/>
    </w:rPr>
  </w:style>
  <w:style w:type="table" w:styleId="TableGrid">
    <w:name w:val="Table Grid"/>
    <w:basedOn w:val="TableNormal"/>
    <w:uiPriority w:val="39"/>
    <w:rsid w:val="003D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E0A"/>
  </w:style>
  <w:style w:type="paragraph" w:styleId="Footer">
    <w:name w:val="footer"/>
    <w:basedOn w:val="Normal"/>
    <w:link w:val="FooterChar"/>
    <w:uiPriority w:val="99"/>
    <w:unhideWhenUsed/>
    <w:rsid w:val="00472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9F3E8-07AE-4C43-8A0E-DC11BF8A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to AI Governance Map</dc:title>
  <dc:subject/>
  <dc:creator>Klich, Erin (ODGA)</dc:creator>
  <cp:keywords/>
  <dc:description/>
  <cp:lastModifiedBy>Klich, Erin (ODGA)</cp:lastModifiedBy>
  <cp:revision>6</cp:revision>
  <dcterms:created xsi:type="dcterms:W3CDTF">2025-11-26T14:45:00Z</dcterms:created>
  <dcterms:modified xsi:type="dcterms:W3CDTF">2025-12-01T14:33:00Z</dcterms:modified>
</cp:coreProperties>
</file>