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5B536" w14:textId="0413533A" w:rsidR="00220F0C" w:rsidRPr="00124A97" w:rsidRDefault="002E0FB1" w:rsidP="00124A97">
      <w:pPr>
        <w:spacing w:after="360"/>
      </w:pPr>
      <w:r w:rsidRPr="00124A97">
        <w:rPr>
          <w:rStyle w:val="TitleChar"/>
        </w:rPr>
        <w:t xml:space="preserve">Meeting </w:t>
      </w:r>
      <w:r w:rsidR="0019531E">
        <w:rPr>
          <w:rStyle w:val="TitleChar"/>
        </w:rPr>
        <w:t>Minutes</w:t>
      </w:r>
      <w:r w:rsidRPr="00124A97">
        <w:t xml:space="preserve"> </w:t>
      </w:r>
      <w:r w:rsidR="007E1BC0" w:rsidRPr="00124A97">
        <w:rPr>
          <w:rStyle w:val="Heading1Char"/>
        </w:rPr>
        <w:t xml:space="preserve">– </w:t>
      </w:r>
      <w:r w:rsidR="00312078">
        <w:rPr>
          <w:rStyle w:val="Heading1Char"/>
        </w:rPr>
        <w:t>Data Stewards Group</w:t>
      </w:r>
    </w:p>
    <w:p w14:paraId="144C6060" w14:textId="2A59EDE5" w:rsidR="004B6305" w:rsidRDefault="004B6305" w:rsidP="00B6024A">
      <w:r w:rsidRPr="00B6024A">
        <w:rPr>
          <w:rStyle w:val="Heading4Char"/>
        </w:rPr>
        <w:t>Date:</w:t>
      </w:r>
      <w:r w:rsidRPr="00220F0C">
        <w:rPr>
          <w:rStyle w:val="Heading3Char"/>
          <w:color w:val="075A83" w:themeColor="accent1"/>
        </w:rPr>
        <w:t xml:space="preserve"> </w:t>
      </w:r>
    </w:p>
    <w:p w14:paraId="6F38A5D7" w14:textId="6CF55E42" w:rsidR="00076274" w:rsidRDefault="00076274" w:rsidP="00B6024A">
      <w:r>
        <w:t>10/</w:t>
      </w:r>
      <w:r w:rsidR="00042E5D">
        <w:t>22/2025</w:t>
      </w:r>
    </w:p>
    <w:p w14:paraId="2A555A66" w14:textId="77777777" w:rsidR="00042E5D" w:rsidRPr="001B3210" w:rsidRDefault="00042E5D" w:rsidP="00B6024A"/>
    <w:p w14:paraId="45987DF6" w14:textId="038AF92D" w:rsidR="004B6305" w:rsidRDefault="004B6305" w:rsidP="00B6024A">
      <w:r w:rsidRPr="00B6024A">
        <w:rPr>
          <w:rStyle w:val="Heading4Char"/>
        </w:rPr>
        <w:t>Time:</w:t>
      </w:r>
      <w:r w:rsidRPr="00220F0C">
        <w:rPr>
          <w:rStyle w:val="Heading3Char"/>
          <w:color w:val="075A83" w:themeColor="accent1"/>
        </w:rPr>
        <w:t xml:space="preserve"> </w:t>
      </w:r>
    </w:p>
    <w:p w14:paraId="7BAA6D31" w14:textId="34E670CA" w:rsidR="00042E5D" w:rsidRDefault="00042E5D" w:rsidP="00B6024A">
      <w:r>
        <w:t xml:space="preserve">1:00 PM </w:t>
      </w:r>
      <w:r w:rsidR="00C06037">
        <w:t>–</w:t>
      </w:r>
      <w:r>
        <w:t xml:space="preserve"> </w:t>
      </w:r>
      <w:r w:rsidR="00C06037">
        <w:t>2:4</w:t>
      </w:r>
      <w:r w:rsidR="00390555">
        <w:t>4</w:t>
      </w:r>
      <w:r w:rsidR="00C06037">
        <w:t xml:space="preserve"> PM</w:t>
      </w:r>
    </w:p>
    <w:p w14:paraId="09F189CE" w14:textId="77777777" w:rsidR="00C06037" w:rsidRPr="001B3210" w:rsidRDefault="00C06037" w:rsidP="00B6024A"/>
    <w:p w14:paraId="7EF1FE35" w14:textId="7923AE87" w:rsidR="00220F0C" w:rsidRDefault="004B6305" w:rsidP="00B6024A">
      <w:r w:rsidRPr="00B6024A">
        <w:rPr>
          <w:rStyle w:val="Heading4Char"/>
        </w:rPr>
        <w:t>Facilitator(s):</w:t>
      </w:r>
      <w:r w:rsidRPr="00220F0C">
        <w:rPr>
          <w:rStyle w:val="Heading3Char"/>
          <w:color w:val="075A83" w:themeColor="accent1"/>
        </w:rPr>
        <w:t xml:space="preserve"> </w:t>
      </w:r>
    </w:p>
    <w:p w14:paraId="29AC837F" w14:textId="5F81D460" w:rsidR="00545744" w:rsidRDefault="00545744" w:rsidP="00CF54BB">
      <w:pPr>
        <w:pStyle w:val="ListParagraph"/>
        <w:numPr>
          <w:ilvl w:val="0"/>
          <w:numId w:val="4"/>
        </w:numPr>
      </w:pPr>
      <w:r>
        <w:t>Chris Burroughs</w:t>
      </w:r>
      <w:r w:rsidR="00A54C32">
        <w:t xml:space="preserve">, </w:t>
      </w:r>
      <w:r w:rsidR="00CF54BB" w:rsidRPr="003D16A2">
        <w:rPr>
          <w:i/>
          <w:iCs/>
        </w:rPr>
        <w:t>Office of Data Governance and Analytics</w:t>
      </w:r>
    </w:p>
    <w:p w14:paraId="07404CFA" w14:textId="220A1B15" w:rsidR="00A54C32" w:rsidRDefault="00A54C32" w:rsidP="00CF54BB">
      <w:pPr>
        <w:pStyle w:val="ListParagraph"/>
        <w:numPr>
          <w:ilvl w:val="0"/>
          <w:numId w:val="4"/>
        </w:numPr>
      </w:pPr>
      <w:r>
        <w:t xml:space="preserve">Jessi Bailey, </w:t>
      </w:r>
      <w:r w:rsidR="00CF54BB" w:rsidRPr="003D16A2">
        <w:rPr>
          <w:i/>
          <w:iCs/>
        </w:rPr>
        <w:t>Office of Data Governance and Analytics</w:t>
      </w:r>
    </w:p>
    <w:p w14:paraId="5EA48058" w14:textId="6A84BB98" w:rsidR="00A54C32" w:rsidRDefault="00A54C32" w:rsidP="00CF54BB">
      <w:pPr>
        <w:pStyle w:val="ListParagraph"/>
        <w:numPr>
          <w:ilvl w:val="0"/>
          <w:numId w:val="4"/>
        </w:numPr>
      </w:pPr>
      <w:r>
        <w:t>Payton Lamb,</w:t>
      </w:r>
      <w:r w:rsidR="00CF54BB">
        <w:t xml:space="preserve"> </w:t>
      </w:r>
      <w:r w:rsidR="00CF54BB" w:rsidRPr="003D16A2">
        <w:rPr>
          <w:i/>
          <w:iCs/>
        </w:rPr>
        <w:t>Office of Data Governance and Analytics</w:t>
      </w:r>
    </w:p>
    <w:p w14:paraId="7231DD64" w14:textId="77777777" w:rsidR="00A54C32" w:rsidRPr="00220F0C" w:rsidRDefault="00A54C32" w:rsidP="00A54C32"/>
    <w:p w14:paraId="6496E6E0" w14:textId="3F962932" w:rsidR="00220F0C" w:rsidRDefault="00220F0C" w:rsidP="00B43595">
      <w:pPr>
        <w:spacing w:line="276" w:lineRule="auto"/>
      </w:pPr>
      <w:r w:rsidRPr="001B3210">
        <w:rPr>
          <w:rStyle w:val="Heading4Char"/>
        </w:rPr>
        <w:t xml:space="preserve">Attendees: </w:t>
      </w:r>
    </w:p>
    <w:p w14:paraId="008879BA" w14:textId="4FD2EAE0" w:rsidR="00A54C32" w:rsidRDefault="00A54C32" w:rsidP="0090333C">
      <w:pPr>
        <w:pStyle w:val="ListParagraph"/>
        <w:numPr>
          <w:ilvl w:val="0"/>
          <w:numId w:val="4"/>
        </w:numPr>
      </w:pPr>
      <w:r>
        <w:t xml:space="preserve">Chris Burroughs, </w:t>
      </w:r>
      <w:r w:rsidR="0090333C" w:rsidRPr="003D16A2">
        <w:rPr>
          <w:i/>
          <w:iCs/>
        </w:rPr>
        <w:t>Office of Data Governance and Analytics</w:t>
      </w:r>
    </w:p>
    <w:p w14:paraId="0EB28726" w14:textId="2A38D876" w:rsidR="00A54C32" w:rsidRDefault="00FB298E" w:rsidP="00CF54BB">
      <w:pPr>
        <w:pStyle w:val="ListParagraph"/>
        <w:numPr>
          <w:ilvl w:val="0"/>
          <w:numId w:val="4"/>
        </w:numPr>
      </w:pPr>
      <w:r>
        <w:t xml:space="preserve">Carrie Thompson, </w:t>
      </w:r>
      <w:r w:rsidR="002940B5" w:rsidRPr="00C61BB0">
        <w:rPr>
          <w:i/>
          <w:iCs/>
          <w:spacing w:val="-4"/>
        </w:rPr>
        <w:t>Virginia Office of Children’s Services</w:t>
      </w:r>
    </w:p>
    <w:p w14:paraId="71F78795" w14:textId="2A8F0DFA" w:rsidR="00A54C32" w:rsidRDefault="00FB298E" w:rsidP="00CF54BB">
      <w:pPr>
        <w:pStyle w:val="ListParagraph"/>
        <w:numPr>
          <w:ilvl w:val="0"/>
          <w:numId w:val="4"/>
        </w:numPr>
      </w:pPr>
      <w:r>
        <w:t>Angela Kepus,</w:t>
      </w:r>
      <w:r w:rsidR="006A079A">
        <w:t xml:space="preserve"> </w:t>
      </w:r>
      <w:r w:rsidR="006A079A" w:rsidRPr="00972743">
        <w:rPr>
          <w:i/>
          <w:iCs/>
          <w:spacing w:val="-4"/>
        </w:rPr>
        <w:t>Virginia State Police</w:t>
      </w:r>
    </w:p>
    <w:p w14:paraId="2422FF3D" w14:textId="19C3D29E" w:rsidR="00FB298E" w:rsidRDefault="003E0DCB" w:rsidP="00CF54BB">
      <w:pPr>
        <w:pStyle w:val="ListParagraph"/>
        <w:numPr>
          <w:ilvl w:val="0"/>
          <w:numId w:val="4"/>
        </w:numPr>
      </w:pPr>
      <w:r>
        <w:t>Tracey Jenkins,</w:t>
      </w:r>
      <w:r w:rsidR="002F55AD">
        <w:t xml:space="preserve"> </w:t>
      </w:r>
      <w:r w:rsidR="002F55AD" w:rsidRPr="00972743">
        <w:rPr>
          <w:i/>
          <w:iCs/>
          <w:spacing w:val="-4"/>
        </w:rPr>
        <w:t>Virginia Department of Criminal Justice Services</w:t>
      </w:r>
    </w:p>
    <w:p w14:paraId="3AE0D06A" w14:textId="1465AE47" w:rsidR="003E0DCB" w:rsidRDefault="003E0DCB" w:rsidP="00CF54BB">
      <w:pPr>
        <w:pStyle w:val="ListParagraph"/>
        <w:numPr>
          <w:ilvl w:val="0"/>
          <w:numId w:val="4"/>
        </w:numPr>
      </w:pPr>
      <w:r>
        <w:t>Matt Dalon,</w:t>
      </w:r>
      <w:r w:rsidR="00D96A16">
        <w:t xml:space="preserve"> </w:t>
      </w:r>
      <w:r w:rsidR="00AC72CB" w:rsidRPr="009151C9">
        <w:rPr>
          <w:i/>
          <w:iCs/>
          <w:spacing w:val="-4"/>
        </w:rPr>
        <w:t>Virginia Department of Conservation and Recreation</w:t>
      </w:r>
    </w:p>
    <w:p w14:paraId="190A25A9" w14:textId="501F04B8" w:rsidR="003E0DCB" w:rsidRDefault="003E0DCB" w:rsidP="00CF54BB">
      <w:pPr>
        <w:pStyle w:val="ListParagraph"/>
        <w:numPr>
          <w:ilvl w:val="0"/>
          <w:numId w:val="4"/>
        </w:numPr>
      </w:pPr>
      <w:r>
        <w:t xml:space="preserve">Warren Shearin, </w:t>
      </w:r>
      <w:r w:rsidR="003D2D37" w:rsidRPr="001C213F">
        <w:rPr>
          <w:i/>
          <w:iCs/>
          <w:spacing w:val="-4"/>
        </w:rPr>
        <w:t>Virginia Department of Fire Programs</w:t>
      </w:r>
    </w:p>
    <w:p w14:paraId="52A24DF3" w14:textId="55B979F4" w:rsidR="003E0DCB" w:rsidRDefault="003E0DCB" w:rsidP="00CF54BB">
      <w:pPr>
        <w:pStyle w:val="ListParagraph"/>
        <w:numPr>
          <w:ilvl w:val="0"/>
          <w:numId w:val="4"/>
        </w:numPr>
      </w:pPr>
      <w:r>
        <w:t xml:space="preserve">Doreen Richmond, </w:t>
      </w:r>
      <w:r w:rsidR="00E83687" w:rsidRPr="00C21932">
        <w:rPr>
          <w:i/>
          <w:iCs/>
          <w:spacing w:val="-4"/>
        </w:rPr>
        <w:t>Virginia Department of Wildlife Resources</w:t>
      </w:r>
    </w:p>
    <w:p w14:paraId="2DCA282D" w14:textId="6DA30F1E" w:rsidR="003E0DCB" w:rsidRDefault="003E0DCB" w:rsidP="00CF54BB">
      <w:pPr>
        <w:pStyle w:val="ListParagraph"/>
        <w:numPr>
          <w:ilvl w:val="0"/>
          <w:numId w:val="4"/>
        </w:numPr>
      </w:pPr>
      <w:r>
        <w:t xml:space="preserve">Rose Lawhorne, </w:t>
      </w:r>
      <w:r w:rsidR="00BB7311" w:rsidRPr="00127734">
        <w:rPr>
          <w:i/>
          <w:iCs/>
          <w:spacing w:val="-4"/>
        </w:rPr>
        <w:t>Virginia Department of Environmental</w:t>
      </w:r>
      <w:r w:rsidR="00BB7311">
        <w:rPr>
          <w:i/>
          <w:iCs/>
          <w:spacing w:val="-4"/>
        </w:rPr>
        <w:t xml:space="preserve"> Quality</w:t>
      </w:r>
    </w:p>
    <w:p w14:paraId="412A4746" w14:textId="3D044786" w:rsidR="003E0DCB" w:rsidRDefault="003E0DCB" w:rsidP="00CF54BB">
      <w:pPr>
        <w:pStyle w:val="ListParagraph"/>
        <w:numPr>
          <w:ilvl w:val="0"/>
          <w:numId w:val="4"/>
        </w:numPr>
      </w:pPr>
      <w:r>
        <w:t xml:space="preserve">Ron Parrish, </w:t>
      </w:r>
      <w:r w:rsidR="001B6415" w:rsidRPr="005233F4">
        <w:rPr>
          <w:i/>
          <w:iCs/>
          <w:spacing w:val="-4"/>
        </w:rPr>
        <w:t>Virginia Department of Education</w:t>
      </w:r>
    </w:p>
    <w:p w14:paraId="2C671B64" w14:textId="530AFEBA" w:rsidR="003E0DCB" w:rsidRDefault="003E0DCB" w:rsidP="00CF54BB">
      <w:pPr>
        <w:pStyle w:val="ListParagraph"/>
        <w:numPr>
          <w:ilvl w:val="0"/>
          <w:numId w:val="4"/>
        </w:numPr>
      </w:pPr>
      <w:r>
        <w:t xml:space="preserve">Jessica Schneider, </w:t>
      </w:r>
      <w:r w:rsidR="00A10886" w:rsidRPr="005233F4">
        <w:rPr>
          <w:i/>
          <w:iCs/>
          <w:spacing w:val="-4"/>
        </w:rPr>
        <w:t>Virginia Department of Juvenile Justice</w:t>
      </w:r>
    </w:p>
    <w:p w14:paraId="534C0BE6" w14:textId="553262B0" w:rsidR="003E0DCB" w:rsidRDefault="003E0DCB" w:rsidP="00CF54BB">
      <w:pPr>
        <w:pStyle w:val="ListParagraph"/>
        <w:numPr>
          <w:ilvl w:val="0"/>
          <w:numId w:val="4"/>
        </w:numPr>
      </w:pPr>
      <w:r>
        <w:t xml:space="preserve">Lauren Whitlow, </w:t>
      </w:r>
      <w:r w:rsidR="00E00D4F" w:rsidRPr="008E7EAD">
        <w:rPr>
          <w:i/>
          <w:iCs/>
          <w:spacing w:val="-4"/>
        </w:rPr>
        <w:t>Virginia Department of Emergency Management</w:t>
      </w:r>
    </w:p>
    <w:p w14:paraId="6A3AC2E3" w14:textId="41527156" w:rsidR="003E0DCB" w:rsidRPr="00357F1F" w:rsidRDefault="003E0DCB" w:rsidP="00CF54BB">
      <w:pPr>
        <w:pStyle w:val="ListParagraph"/>
        <w:numPr>
          <w:ilvl w:val="0"/>
          <w:numId w:val="4"/>
        </w:numPr>
        <w:rPr>
          <w:i/>
          <w:iCs/>
        </w:rPr>
      </w:pPr>
      <w:r>
        <w:t xml:space="preserve">Robin Sheldon, </w:t>
      </w:r>
      <w:r w:rsidR="00357F1F" w:rsidRPr="00357F1F">
        <w:rPr>
          <w:i/>
          <w:iCs/>
        </w:rPr>
        <w:t>Virginia Department of Motor Vehicles</w:t>
      </w:r>
    </w:p>
    <w:p w14:paraId="32CB3F0C" w14:textId="6236791F" w:rsidR="003E0DCB" w:rsidRDefault="003E0DCB" w:rsidP="00CF54BB">
      <w:pPr>
        <w:pStyle w:val="ListParagraph"/>
        <w:numPr>
          <w:ilvl w:val="0"/>
          <w:numId w:val="4"/>
        </w:numPr>
      </w:pPr>
      <w:r>
        <w:t xml:space="preserve">Amy Hoffman, </w:t>
      </w:r>
      <w:r w:rsidR="004B4BBF" w:rsidRPr="008E7EAD">
        <w:rPr>
          <w:i/>
          <w:iCs/>
          <w:spacing w:val="-4"/>
        </w:rPr>
        <w:t>Virginia Department of Emergency Management</w:t>
      </w:r>
    </w:p>
    <w:p w14:paraId="789EF679" w14:textId="54232EA6" w:rsidR="003E0DCB" w:rsidRDefault="003E0DCB" w:rsidP="343814E6">
      <w:pPr>
        <w:pStyle w:val="ListParagraph"/>
        <w:numPr>
          <w:ilvl w:val="0"/>
          <w:numId w:val="4"/>
        </w:numPr>
        <w:rPr>
          <w:i/>
          <w:iCs/>
        </w:rPr>
      </w:pPr>
      <w:r>
        <w:t>Baron Blakely</w:t>
      </w:r>
      <w:r w:rsidR="0090333C">
        <w:t xml:space="preserve">, </w:t>
      </w:r>
      <w:r w:rsidR="00C2709F" w:rsidRPr="343814E6">
        <w:rPr>
          <w:i/>
          <w:iCs/>
          <w:spacing w:val="-4"/>
        </w:rPr>
        <w:t>Virginia Department of Criminal Justice Services</w:t>
      </w:r>
    </w:p>
    <w:p w14:paraId="3F9DEA11" w14:textId="5F24991D" w:rsidR="5F7FFB85" w:rsidRDefault="5F7FFB85" w:rsidP="343814E6">
      <w:pPr>
        <w:pStyle w:val="ListParagraph"/>
        <w:numPr>
          <w:ilvl w:val="0"/>
          <w:numId w:val="4"/>
        </w:numPr>
        <w:rPr>
          <w:i/>
          <w:iCs/>
        </w:rPr>
      </w:pPr>
      <w:r w:rsidRPr="343814E6">
        <w:t xml:space="preserve">Carol Wells Bazzichi, </w:t>
      </w:r>
      <w:r w:rsidRPr="343814E6">
        <w:rPr>
          <w:i/>
          <w:iCs/>
        </w:rPr>
        <w:t>Virginia Department of Education, absent</w:t>
      </w:r>
    </w:p>
    <w:p w14:paraId="33C7D153" w14:textId="456DA6A2" w:rsidR="5F7FFB85" w:rsidRDefault="5F7FFB85" w:rsidP="343814E6">
      <w:pPr>
        <w:pStyle w:val="ListParagraph"/>
        <w:numPr>
          <w:ilvl w:val="0"/>
          <w:numId w:val="4"/>
        </w:numPr>
        <w:rPr>
          <w:i/>
          <w:iCs/>
        </w:rPr>
      </w:pPr>
      <w:r w:rsidRPr="343814E6">
        <w:t xml:space="preserve">Dhara Amin, </w:t>
      </w:r>
      <w:r w:rsidRPr="343814E6">
        <w:rPr>
          <w:i/>
          <w:iCs/>
        </w:rPr>
        <w:t>Virginia Department of Juvenile Justice, absent</w:t>
      </w:r>
    </w:p>
    <w:p w14:paraId="42368951" w14:textId="77777777" w:rsidR="004B6305" w:rsidRDefault="004B6305" w:rsidP="004B6305"/>
    <w:p w14:paraId="6E2B854A" w14:textId="2D3341D1" w:rsidR="00532627" w:rsidRDefault="005075F8" w:rsidP="002A1615">
      <w:pPr>
        <w:tabs>
          <w:tab w:val="left" w:pos="7802"/>
        </w:tabs>
        <w:spacing w:line="276" w:lineRule="auto"/>
      </w:pPr>
      <w:r w:rsidRPr="001B3210">
        <w:rPr>
          <w:rStyle w:val="Heading4Char"/>
        </w:rPr>
        <w:t xml:space="preserve">Goals of the meeting: </w:t>
      </w:r>
    </w:p>
    <w:p w14:paraId="13CD4776" w14:textId="1D9912AF" w:rsidR="005075F8" w:rsidRPr="001B3210" w:rsidRDefault="00551A4F" w:rsidP="002A1615">
      <w:pPr>
        <w:tabs>
          <w:tab w:val="left" w:pos="7802"/>
        </w:tabs>
        <w:spacing w:line="276" w:lineRule="auto"/>
        <w:rPr>
          <w:rStyle w:val="Heading4Char"/>
        </w:rPr>
      </w:pPr>
      <w:r w:rsidRPr="00551A4F">
        <w:t xml:space="preserve">The purpose of the Data Stewards Group (DSG) meeting is to advance the Commonwealth’s data governance objectives by promoting the secure and appropriate sharing and use of data assets to support data-driven policymaking, evidence-based decision-making, research, and analysis. The meeting aims to maximize the value and utility of the Commonwealth’s data-related investments and assets while fostering </w:t>
      </w:r>
      <w:r w:rsidRPr="00551A4F">
        <w:lastRenderedPageBreak/>
        <w:t>collaboration and increased data sharing between state agencies and localities. Through these efforts, the DSG seeks to drive operational improvements, enhance mission outcomes, and ensure coordination in a cost-effective manner. Additionally, the group supports lawful and appropriate public access to data to encourage research, innovation, and insight.</w:t>
      </w:r>
      <w:r w:rsidR="002A1615">
        <w:tab/>
      </w:r>
    </w:p>
    <w:p w14:paraId="3C689949" w14:textId="77777777" w:rsidR="005075F8" w:rsidRDefault="005075F8" w:rsidP="004B6305"/>
    <w:p w14:paraId="6FD998B4" w14:textId="77777777" w:rsidR="00147FD6" w:rsidRDefault="00147FD6" w:rsidP="00147FD6">
      <w:pPr>
        <w:pStyle w:val="Heading4"/>
      </w:pPr>
      <w:r>
        <w:t>Motions</w:t>
      </w:r>
      <w:r w:rsidRPr="00B43595">
        <w:t>:</w:t>
      </w:r>
    </w:p>
    <w:p w14:paraId="09C41B0B" w14:textId="42077703" w:rsidR="00147FD6" w:rsidRDefault="00147FD6" w:rsidP="00147FD6">
      <w:r w:rsidRPr="00E05EBD">
        <w:rPr>
          <w:b/>
          <w:bCs/>
        </w:rPr>
        <w:t>Motion 1:</w:t>
      </w:r>
      <w:r>
        <w:t xml:space="preserve"> </w:t>
      </w:r>
      <w:r w:rsidR="00F92F32">
        <w:t xml:space="preserve">Approval of Data Stewards Group Meeting Minutes </w:t>
      </w:r>
      <w:r w:rsidR="00F7374B">
        <w:t>(May 2025).</w:t>
      </w:r>
    </w:p>
    <w:p w14:paraId="434E2CF8" w14:textId="600F804D" w:rsidR="00147FD6" w:rsidRDefault="00147FD6" w:rsidP="00147FD6">
      <w:r w:rsidRPr="00E05EBD">
        <w:rPr>
          <w:b/>
          <w:bCs/>
        </w:rPr>
        <w:t>Presenter:</w:t>
      </w:r>
      <w:r>
        <w:t xml:space="preserve"> </w:t>
      </w:r>
      <w:r w:rsidR="00DB246B">
        <w:t>Director of Data Protection and Governance, Chris Burroughs</w:t>
      </w:r>
    </w:p>
    <w:p w14:paraId="291FF3DF" w14:textId="17E3DA84" w:rsidR="00147FD6" w:rsidRDefault="00147FD6" w:rsidP="00147FD6">
      <w:r w:rsidRPr="00E05EBD">
        <w:rPr>
          <w:b/>
          <w:bCs/>
        </w:rPr>
        <w:t>Discussion:</w:t>
      </w:r>
      <w:r>
        <w:t xml:space="preserve"> </w:t>
      </w:r>
      <w:r w:rsidR="00FE3C2D">
        <w:t>Approval of the previous meeting minutes were discussed.</w:t>
      </w:r>
    </w:p>
    <w:p w14:paraId="49DB7A51" w14:textId="46E4C614" w:rsidR="00147FD6" w:rsidRDefault="00147FD6" w:rsidP="00147FD6">
      <w:r w:rsidRPr="00E05EBD">
        <w:rPr>
          <w:b/>
          <w:bCs/>
        </w:rPr>
        <w:t>Motion Accepted:</w:t>
      </w:r>
      <w:r>
        <w:t xml:space="preserve"> </w:t>
      </w:r>
      <w:r w:rsidR="00FE3C2D">
        <w:t xml:space="preserve">Motion moved by </w:t>
      </w:r>
      <w:r w:rsidR="00E05EBD">
        <w:t>Rose Lawhorne and seconded by Angela Kepus. Motion carried by unanimous vote.</w:t>
      </w:r>
    </w:p>
    <w:p w14:paraId="03F05A22" w14:textId="77777777" w:rsidR="00147FD6" w:rsidRDefault="00147FD6" w:rsidP="00147FD6"/>
    <w:p w14:paraId="36BE82A0" w14:textId="0BE02205" w:rsidR="00147FD6" w:rsidRDefault="00147FD6" w:rsidP="00147FD6">
      <w:r w:rsidRPr="00E05EBD">
        <w:rPr>
          <w:b/>
          <w:bCs/>
        </w:rPr>
        <w:t>Motion 2:</w:t>
      </w:r>
      <w:r>
        <w:t xml:space="preserve"> </w:t>
      </w:r>
      <w:r w:rsidR="000F771D">
        <w:t>Revision of the Data Stewards Group Charter.</w:t>
      </w:r>
    </w:p>
    <w:p w14:paraId="45A5F769" w14:textId="7DD43CEB" w:rsidR="00147FD6" w:rsidRDefault="00147FD6" w:rsidP="00147FD6">
      <w:r w:rsidRPr="00E05EBD">
        <w:rPr>
          <w:b/>
          <w:bCs/>
        </w:rPr>
        <w:t>Presenter:</w:t>
      </w:r>
      <w:r>
        <w:t xml:space="preserve"> </w:t>
      </w:r>
      <w:r w:rsidR="00DB246B">
        <w:t>Director of Data Protection and Governance, Chris Burroughs</w:t>
      </w:r>
    </w:p>
    <w:p w14:paraId="0B115555" w14:textId="3F94FE07" w:rsidR="00147FD6" w:rsidRDefault="00147FD6" w:rsidP="00147FD6">
      <w:r w:rsidRPr="00E05EBD">
        <w:rPr>
          <w:b/>
          <w:bCs/>
        </w:rPr>
        <w:t>Discussion:</w:t>
      </w:r>
      <w:r>
        <w:t xml:space="preserve"> </w:t>
      </w:r>
      <w:r w:rsidR="00F852E8">
        <w:t>The DSG discussed the revision of the Charter</w:t>
      </w:r>
      <w:r w:rsidR="00015E9C">
        <w:t>.</w:t>
      </w:r>
    </w:p>
    <w:p w14:paraId="33035DB8" w14:textId="4E86C588" w:rsidR="00147FD6" w:rsidRPr="00B43595" w:rsidRDefault="00147FD6" w:rsidP="00147FD6">
      <w:r w:rsidRPr="00E05EBD">
        <w:rPr>
          <w:b/>
          <w:bCs/>
        </w:rPr>
        <w:t>Motion Accepted:</w:t>
      </w:r>
      <w:r>
        <w:t xml:space="preserve"> </w:t>
      </w:r>
      <w:r w:rsidR="0021254D">
        <w:t>Motion moved by Rose Lawhorne and seconded by Tracey Jenkins. Motion carried by unanimous vote.</w:t>
      </w:r>
    </w:p>
    <w:p w14:paraId="44619D3A" w14:textId="77777777" w:rsidR="00147FD6" w:rsidRDefault="00147FD6" w:rsidP="004B6305"/>
    <w:p w14:paraId="5E40BDA6" w14:textId="53B1A59E" w:rsidR="004B6305" w:rsidRPr="00576E59" w:rsidRDefault="00576E59" w:rsidP="00576E59">
      <w:pPr>
        <w:pStyle w:val="Heading4"/>
        <w:rPr>
          <w:rFonts w:eastAsiaTheme="minorHAnsi" w:cstheme="minorBidi"/>
          <w:sz w:val="24"/>
        </w:rPr>
      </w:pPr>
      <w:r w:rsidRPr="001B3210">
        <w:t>A</w:t>
      </w:r>
      <w:r>
        <w:t>genda</w:t>
      </w:r>
      <w:r w:rsidRPr="001B3210">
        <w:t>:</w:t>
      </w:r>
      <w:r w:rsidRPr="001B3210">
        <w:rPr>
          <w:rFonts w:eastAsiaTheme="minorHAnsi" w:cstheme="minorBidi"/>
          <w:sz w:val="24"/>
        </w:rPr>
        <w:t xml:space="preserve"> </w:t>
      </w:r>
    </w:p>
    <w:tbl>
      <w:tblPr>
        <w:tblStyle w:val="TableGrid"/>
        <w:tblW w:w="10620" w:type="dxa"/>
        <w:jc w:val="center"/>
        <w:tblBorders>
          <w:top w:val="single" w:sz="4" w:space="0" w:color="4178CB" w:themeColor="text1" w:themeTint="99"/>
          <w:left w:val="single" w:sz="4" w:space="0" w:color="4178CB" w:themeColor="text1" w:themeTint="99"/>
          <w:bottom w:val="single" w:sz="4" w:space="0" w:color="4178CB" w:themeColor="text1" w:themeTint="99"/>
          <w:right w:val="single" w:sz="4" w:space="0" w:color="4178CB" w:themeColor="text1" w:themeTint="99"/>
          <w:insideH w:val="single" w:sz="4" w:space="0" w:color="4178CB" w:themeColor="text1" w:themeTint="99"/>
          <w:insideV w:val="single" w:sz="4" w:space="0" w:color="4178CB" w:themeColor="text1" w:themeTint="99"/>
        </w:tblBorders>
        <w:tblLook w:val="04A0" w:firstRow="1" w:lastRow="0" w:firstColumn="1" w:lastColumn="0" w:noHBand="0" w:noVBand="1"/>
      </w:tblPr>
      <w:tblGrid>
        <w:gridCol w:w="3595"/>
        <w:gridCol w:w="3150"/>
        <w:gridCol w:w="3875"/>
      </w:tblGrid>
      <w:tr w:rsidR="00220F0C" w14:paraId="07E34423" w14:textId="77777777" w:rsidTr="00973B0D">
        <w:trPr>
          <w:trHeight w:val="720"/>
          <w:jc w:val="center"/>
        </w:trPr>
        <w:tc>
          <w:tcPr>
            <w:tcW w:w="3595" w:type="dxa"/>
            <w:shd w:val="clear" w:color="auto" w:fill="075A83" w:themeFill="accent1"/>
            <w:vAlign w:val="center"/>
          </w:tcPr>
          <w:p w14:paraId="7290F69D" w14:textId="6D94F8C3" w:rsidR="00220F0C" w:rsidRPr="00662C9D" w:rsidRDefault="00220F0C" w:rsidP="00B43595">
            <w:pPr>
              <w:pStyle w:val="Heading3"/>
              <w:jc w:val="center"/>
              <w:rPr>
                <w:color w:val="FFFFFF" w:themeColor="background1"/>
              </w:rPr>
            </w:pPr>
            <w:r w:rsidRPr="00662C9D">
              <w:rPr>
                <w:color w:val="FFFFFF" w:themeColor="background1"/>
              </w:rPr>
              <w:t>Agenda item</w:t>
            </w:r>
          </w:p>
        </w:tc>
        <w:tc>
          <w:tcPr>
            <w:tcW w:w="3150" w:type="dxa"/>
            <w:shd w:val="clear" w:color="auto" w:fill="075A83" w:themeFill="accent1"/>
            <w:vAlign w:val="center"/>
          </w:tcPr>
          <w:p w14:paraId="3E51D940" w14:textId="633ED7C7" w:rsidR="00220F0C" w:rsidRPr="00662C9D" w:rsidRDefault="00220F0C" w:rsidP="00B43595">
            <w:pPr>
              <w:pStyle w:val="Heading3"/>
              <w:jc w:val="center"/>
              <w:rPr>
                <w:color w:val="FFFFFF" w:themeColor="background1"/>
              </w:rPr>
            </w:pPr>
            <w:r w:rsidRPr="00662C9D">
              <w:rPr>
                <w:color w:val="FFFFFF" w:themeColor="background1"/>
              </w:rPr>
              <w:t>Facilitator</w:t>
            </w:r>
          </w:p>
        </w:tc>
        <w:tc>
          <w:tcPr>
            <w:tcW w:w="3875" w:type="dxa"/>
            <w:shd w:val="clear" w:color="auto" w:fill="075A83" w:themeFill="accent1"/>
            <w:vAlign w:val="center"/>
          </w:tcPr>
          <w:p w14:paraId="65083B99" w14:textId="0440C30A" w:rsidR="00220F0C" w:rsidRPr="00662C9D" w:rsidRDefault="00220F0C" w:rsidP="00B43595">
            <w:pPr>
              <w:pStyle w:val="Heading3"/>
              <w:jc w:val="center"/>
              <w:rPr>
                <w:color w:val="FFFFFF" w:themeColor="background1"/>
              </w:rPr>
            </w:pPr>
            <w:r w:rsidRPr="00662C9D">
              <w:rPr>
                <w:color w:val="FFFFFF" w:themeColor="background1"/>
              </w:rPr>
              <w:t>Content</w:t>
            </w:r>
          </w:p>
        </w:tc>
      </w:tr>
      <w:tr w:rsidR="00220F0C" w14:paraId="5C332565" w14:textId="77777777" w:rsidTr="00973B0D">
        <w:trPr>
          <w:trHeight w:val="720"/>
          <w:jc w:val="center"/>
        </w:trPr>
        <w:tc>
          <w:tcPr>
            <w:tcW w:w="3595" w:type="dxa"/>
            <w:vAlign w:val="center"/>
          </w:tcPr>
          <w:p w14:paraId="34B9A73E" w14:textId="46B357B7" w:rsidR="00220F0C" w:rsidRPr="00B43595" w:rsidRDefault="00244277" w:rsidP="00BA76D3">
            <w:r>
              <w:t xml:space="preserve">1:00 PM: </w:t>
            </w:r>
            <w:r w:rsidR="00055984">
              <w:t>Welcome and Opening Remarks, Roll Call, DSG Order of Business</w:t>
            </w:r>
          </w:p>
        </w:tc>
        <w:tc>
          <w:tcPr>
            <w:tcW w:w="3150" w:type="dxa"/>
            <w:vAlign w:val="center"/>
          </w:tcPr>
          <w:p w14:paraId="5151B5A9" w14:textId="62DE25C9" w:rsidR="00220F0C" w:rsidRPr="00B43595" w:rsidRDefault="0035478B" w:rsidP="00B43595">
            <w:pPr>
              <w:jc w:val="center"/>
            </w:pPr>
            <w:r>
              <w:t>Chris Burroughs (ODGA)</w:t>
            </w:r>
          </w:p>
        </w:tc>
        <w:tc>
          <w:tcPr>
            <w:tcW w:w="3875" w:type="dxa"/>
            <w:vAlign w:val="center"/>
          </w:tcPr>
          <w:p w14:paraId="46B300D1" w14:textId="2C1FFB9C" w:rsidR="00220F0C" w:rsidRPr="00B43595" w:rsidRDefault="00F53799" w:rsidP="00B43595">
            <w:pPr>
              <w:jc w:val="center"/>
            </w:pPr>
            <w:r>
              <w:t>Welcome, Roll Call, Meeting Goals</w:t>
            </w:r>
          </w:p>
        </w:tc>
      </w:tr>
      <w:tr w:rsidR="00B43595" w14:paraId="03CF635A" w14:textId="77777777" w:rsidTr="00973B0D">
        <w:trPr>
          <w:trHeight w:val="720"/>
          <w:jc w:val="center"/>
        </w:trPr>
        <w:tc>
          <w:tcPr>
            <w:tcW w:w="3595" w:type="dxa"/>
            <w:shd w:val="clear" w:color="auto" w:fill="F2F2F2" w:themeFill="background1" w:themeFillShade="F2"/>
            <w:vAlign w:val="center"/>
          </w:tcPr>
          <w:p w14:paraId="312E7ADE" w14:textId="1FA0AF4A" w:rsidR="00B43595" w:rsidRPr="00B43595" w:rsidRDefault="003F1F37" w:rsidP="00BA76D3">
            <w:r>
              <w:t>1:25 PM: Data Governance</w:t>
            </w:r>
          </w:p>
        </w:tc>
        <w:tc>
          <w:tcPr>
            <w:tcW w:w="3150" w:type="dxa"/>
            <w:shd w:val="clear" w:color="auto" w:fill="F2F2F2" w:themeFill="background1" w:themeFillShade="F2"/>
            <w:vAlign w:val="center"/>
          </w:tcPr>
          <w:p w14:paraId="5F2C750E" w14:textId="6A4F90DB" w:rsidR="00B43595" w:rsidRPr="00B43595" w:rsidRDefault="0035478B" w:rsidP="00B43595">
            <w:pPr>
              <w:jc w:val="center"/>
            </w:pPr>
            <w:r>
              <w:t>Chris Burroughs (ODGA)</w:t>
            </w:r>
          </w:p>
        </w:tc>
        <w:tc>
          <w:tcPr>
            <w:tcW w:w="3875" w:type="dxa"/>
            <w:shd w:val="clear" w:color="auto" w:fill="F2F2F2" w:themeFill="background1" w:themeFillShade="F2"/>
            <w:vAlign w:val="center"/>
          </w:tcPr>
          <w:p w14:paraId="47939531" w14:textId="6547E99A" w:rsidR="00B43595" w:rsidRPr="00B43595" w:rsidRDefault="009E73F5" w:rsidP="00B43595">
            <w:pPr>
              <w:jc w:val="center"/>
            </w:pPr>
            <w:r>
              <w:t>GDCDPA Overview and ODGA</w:t>
            </w:r>
            <w:r w:rsidR="00E54BC0">
              <w:t xml:space="preserve"> Data Governance Efforts</w:t>
            </w:r>
          </w:p>
        </w:tc>
      </w:tr>
      <w:tr w:rsidR="00B43595" w14:paraId="73725DDF" w14:textId="77777777" w:rsidTr="00973B0D">
        <w:trPr>
          <w:trHeight w:val="720"/>
          <w:jc w:val="center"/>
        </w:trPr>
        <w:tc>
          <w:tcPr>
            <w:tcW w:w="3595" w:type="dxa"/>
            <w:vAlign w:val="center"/>
          </w:tcPr>
          <w:p w14:paraId="46233269" w14:textId="15213271" w:rsidR="00B43595" w:rsidRPr="00B43595" w:rsidRDefault="006C13DC" w:rsidP="00BA76D3">
            <w:r>
              <w:t>1:57 PM</w:t>
            </w:r>
            <w:r w:rsidR="00E33764">
              <w:t>: Interagency Data Sharing</w:t>
            </w:r>
          </w:p>
        </w:tc>
        <w:tc>
          <w:tcPr>
            <w:tcW w:w="3150" w:type="dxa"/>
            <w:vAlign w:val="center"/>
          </w:tcPr>
          <w:p w14:paraId="4F51C142" w14:textId="69221B1C" w:rsidR="00B43595" w:rsidRPr="00B43595" w:rsidRDefault="0035478B" w:rsidP="00B43595">
            <w:pPr>
              <w:jc w:val="center"/>
            </w:pPr>
            <w:r>
              <w:t>Chris Burroughs (ODGA)</w:t>
            </w:r>
          </w:p>
        </w:tc>
        <w:tc>
          <w:tcPr>
            <w:tcW w:w="3875" w:type="dxa"/>
            <w:vAlign w:val="center"/>
          </w:tcPr>
          <w:p w14:paraId="0E6FD606" w14:textId="0DBCA4A1" w:rsidR="00B43595" w:rsidRPr="00B43595" w:rsidRDefault="00E1096D" w:rsidP="00B43595">
            <w:pPr>
              <w:jc w:val="center"/>
            </w:pPr>
            <w:r>
              <w:t>Overview of SUDA and Interagency Data Sharing</w:t>
            </w:r>
            <w:r w:rsidR="00BE7CE7">
              <w:t xml:space="preserve"> Progress</w:t>
            </w:r>
          </w:p>
        </w:tc>
      </w:tr>
      <w:tr w:rsidR="00B43595" w14:paraId="797CE3F2" w14:textId="77777777" w:rsidTr="00973B0D">
        <w:trPr>
          <w:trHeight w:val="720"/>
          <w:jc w:val="center"/>
        </w:trPr>
        <w:tc>
          <w:tcPr>
            <w:tcW w:w="3595" w:type="dxa"/>
            <w:shd w:val="clear" w:color="auto" w:fill="F2F2F2" w:themeFill="background1" w:themeFillShade="F2"/>
            <w:vAlign w:val="center"/>
          </w:tcPr>
          <w:p w14:paraId="3D20D32E" w14:textId="02A62146" w:rsidR="00B43595" w:rsidRPr="00B43595" w:rsidRDefault="00E33764" w:rsidP="00BA76D3">
            <w:r>
              <w:t>2:15 PM: Break</w:t>
            </w:r>
          </w:p>
        </w:tc>
        <w:tc>
          <w:tcPr>
            <w:tcW w:w="3150" w:type="dxa"/>
            <w:shd w:val="clear" w:color="auto" w:fill="F2F2F2" w:themeFill="background1" w:themeFillShade="F2"/>
            <w:vAlign w:val="center"/>
          </w:tcPr>
          <w:p w14:paraId="2F5258F7" w14:textId="65089B15" w:rsidR="00B43595" w:rsidRPr="00B43595" w:rsidRDefault="0035478B" w:rsidP="00B43595">
            <w:pPr>
              <w:jc w:val="center"/>
            </w:pPr>
            <w:r>
              <w:t>Break</w:t>
            </w:r>
          </w:p>
        </w:tc>
        <w:tc>
          <w:tcPr>
            <w:tcW w:w="3875" w:type="dxa"/>
            <w:shd w:val="clear" w:color="auto" w:fill="F2F2F2" w:themeFill="background1" w:themeFillShade="F2"/>
            <w:vAlign w:val="center"/>
          </w:tcPr>
          <w:p w14:paraId="052BB9A0" w14:textId="70749864" w:rsidR="00B43595" w:rsidRPr="00B43595" w:rsidRDefault="0040115F" w:rsidP="00B43595">
            <w:pPr>
              <w:jc w:val="center"/>
            </w:pPr>
            <w:r>
              <w:t>Break</w:t>
            </w:r>
          </w:p>
        </w:tc>
      </w:tr>
      <w:tr w:rsidR="00B43595" w14:paraId="077CDC8D" w14:textId="77777777" w:rsidTr="00973B0D">
        <w:trPr>
          <w:trHeight w:val="720"/>
          <w:jc w:val="center"/>
        </w:trPr>
        <w:tc>
          <w:tcPr>
            <w:tcW w:w="3595" w:type="dxa"/>
            <w:vAlign w:val="center"/>
          </w:tcPr>
          <w:p w14:paraId="16046912" w14:textId="7353B05B" w:rsidR="00B43595" w:rsidRPr="00B43595" w:rsidRDefault="00E33764" w:rsidP="00BA76D3">
            <w:r>
              <w:t>2:20 PM: Visualization</w:t>
            </w:r>
            <w:r w:rsidR="00CF784E">
              <w:t>s Best Practices</w:t>
            </w:r>
          </w:p>
        </w:tc>
        <w:tc>
          <w:tcPr>
            <w:tcW w:w="3150" w:type="dxa"/>
            <w:vAlign w:val="center"/>
          </w:tcPr>
          <w:p w14:paraId="423F89F7" w14:textId="74EB8104" w:rsidR="00B43595" w:rsidRPr="00B43595" w:rsidRDefault="0035478B" w:rsidP="00B43595">
            <w:pPr>
              <w:jc w:val="center"/>
            </w:pPr>
            <w:r>
              <w:t>Payton Lamb (ODGA)</w:t>
            </w:r>
          </w:p>
        </w:tc>
        <w:tc>
          <w:tcPr>
            <w:tcW w:w="3875" w:type="dxa"/>
            <w:vAlign w:val="center"/>
          </w:tcPr>
          <w:p w14:paraId="1A9CABF0" w14:textId="2AA6BE80" w:rsidR="00B43595" w:rsidRPr="00B43595" w:rsidRDefault="00712448" w:rsidP="00B43595">
            <w:pPr>
              <w:jc w:val="center"/>
            </w:pPr>
            <w:r>
              <w:t>Power BI Dashboard</w:t>
            </w:r>
            <w:r w:rsidR="00BC5490">
              <w:t xml:space="preserve"> Best Practices and Visualization Principles</w:t>
            </w:r>
          </w:p>
        </w:tc>
      </w:tr>
      <w:tr w:rsidR="00B43595" w14:paraId="0F54B48A" w14:textId="77777777" w:rsidTr="00BA76D3">
        <w:trPr>
          <w:trHeight w:val="1052"/>
          <w:jc w:val="center"/>
        </w:trPr>
        <w:tc>
          <w:tcPr>
            <w:tcW w:w="3595" w:type="dxa"/>
            <w:shd w:val="clear" w:color="auto" w:fill="F2F2F2" w:themeFill="background1" w:themeFillShade="F2"/>
            <w:vAlign w:val="center"/>
          </w:tcPr>
          <w:p w14:paraId="19772763" w14:textId="18799C75" w:rsidR="00B43595" w:rsidRPr="00B43595" w:rsidRDefault="00183178" w:rsidP="00BA76D3">
            <w:r>
              <w:t xml:space="preserve">2:33 PM: ODGA Events/2026 </w:t>
            </w:r>
            <w:r w:rsidR="00BA76D3">
              <w:t>Planning, Member and Public Comment, Adjourn</w:t>
            </w:r>
          </w:p>
        </w:tc>
        <w:tc>
          <w:tcPr>
            <w:tcW w:w="3150" w:type="dxa"/>
            <w:shd w:val="clear" w:color="auto" w:fill="F2F2F2" w:themeFill="background1" w:themeFillShade="F2"/>
            <w:vAlign w:val="center"/>
          </w:tcPr>
          <w:p w14:paraId="7751EF38" w14:textId="77777777" w:rsidR="00B43595" w:rsidRDefault="0035478B" w:rsidP="00B43595">
            <w:pPr>
              <w:jc w:val="center"/>
            </w:pPr>
            <w:r>
              <w:t>Chris Burroughs (ODGA)</w:t>
            </w:r>
          </w:p>
          <w:p w14:paraId="0B2EBB56" w14:textId="4411DDA2" w:rsidR="0035478B" w:rsidRPr="00B43595" w:rsidRDefault="0035478B" w:rsidP="00B43595">
            <w:pPr>
              <w:jc w:val="center"/>
            </w:pPr>
            <w:r>
              <w:t>Jessi Bailey (ODGA)</w:t>
            </w:r>
          </w:p>
        </w:tc>
        <w:tc>
          <w:tcPr>
            <w:tcW w:w="3875" w:type="dxa"/>
            <w:shd w:val="clear" w:color="auto" w:fill="F2F2F2" w:themeFill="background1" w:themeFillShade="F2"/>
            <w:vAlign w:val="center"/>
          </w:tcPr>
          <w:p w14:paraId="1AD598D4" w14:textId="212F56C9" w:rsidR="00B43595" w:rsidRPr="00B43595" w:rsidRDefault="005A0723" w:rsidP="00B43595">
            <w:pPr>
              <w:jc w:val="center"/>
            </w:pPr>
            <w:r>
              <w:t>ODGA Updates and Upcoming Initiatives</w:t>
            </w:r>
          </w:p>
        </w:tc>
      </w:tr>
    </w:tbl>
    <w:p w14:paraId="59443CB5" w14:textId="77777777" w:rsidR="00EF6026" w:rsidRDefault="00EF6026" w:rsidP="007D2AB9">
      <w:pPr>
        <w:pStyle w:val="Heading3"/>
      </w:pPr>
    </w:p>
    <w:p w14:paraId="2EB3D0ED" w14:textId="77777777" w:rsidR="00147FD6" w:rsidRPr="001B3210" w:rsidRDefault="00147FD6" w:rsidP="00147FD6">
      <w:pPr>
        <w:pStyle w:val="Heading4"/>
        <w:rPr>
          <w:rFonts w:eastAsiaTheme="minorHAnsi" w:cstheme="minorBidi"/>
          <w:sz w:val="24"/>
        </w:rPr>
      </w:pPr>
      <w:r w:rsidRPr="001B3210">
        <w:t>Agenda items:</w:t>
      </w:r>
      <w:r w:rsidRPr="001B3210">
        <w:rPr>
          <w:rFonts w:eastAsiaTheme="minorHAnsi" w:cstheme="minorBidi"/>
          <w:sz w:val="24"/>
        </w:rPr>
        <w:t xml:space="preserve"> </w:t>
      </w:r>
    </w:p>
    <w:p w14:paraId="69600FAA" w14:textId="62E728ED" w:rsidR="00B43595" w:rsidRDefault="00E326FB" w:rsidP="00B43595">
      <w:r w:rsidRPr="00B5150F">
        <w:rPr>
          <w:b/>
          <w:bCs/>
        </w:rPr>
        <w:t>Agenda Item 1:</w:t>
      </w:r>
      <w:r>
        <w:t xml:space="preserve"> </w:t>
      </w:r>
      <w:r w:rsidR="00EA27D4">
        <w:t>Welcome and Opening Remarks, Roll Call, and DSG Order of Business</w:t>
      </w:r>
      <w:r w:rsidR="00295A2D">
        <w:t>, 1:00 PM – 1:25 PM</w:t>
      </w:r>
    </w:p>
    <w:p w14:paraId="3CDEB5F1" w14:textId="102333F3" w:rsidR="00E326FB" w:rsidRDefault="00E326FB" w:rsidP="00B43595">
      <w:r w:rsidRPr="00B5150F">
        <w:rPr>
          <w:b/>
          <w:bCs/>
        </w:rPr>
        <w:t>Presenter:</w:t>
      </w:r>
      <w:r>
        <w:t xml:space="preserve"> </w:t>
      </w:r>
      <w:r w:rsidR="00EA27D4">
        <w:t>Director of Data Protection and Governance, Chris Burroughs</w:t>
      </w:r>
    </w:p>
    <w:p w14:paraId="77BB41F6" w14:textId="22B2A720" w:rsidR="00E326FB" w:rsidRDefault="00E326FB" w:rsidP="00B43595">
      <w:r w:rsidRPr="00B5150F">
        <w:rPr>
          <w:b/>
          <w:bCs/>
        </w:rPr>
        <w:t>Discussion:</w:t>
      </w:r>
      <w:r>
        <w:t xml:space="preserve"> </w:t>
      </w:r>
      <w:r w:rsidRPr="00C6709C">
        <w:t xml:space="preserve">The agenda was reviewed, and </w:t>
      </w:r>
      <w:proofErr w:type="gramStart"/>
      <w:r w:rsidRPr="00C6709C">
        <w:t>a roll</w:t>
      </w:r>
      <w:proofErr w:type="gramEnd"/>
      <w:r w:rsidRPr="00C6709C">
        <w:t xml:space="preserve"> call </w:t>
      </w:r>
      <w:proofErr w:type="gramStart"/>
      <w:r w:rsidRPr="00C6709C">
        <w:t>of</w:t>
      </w:r>
      <w:proofErr w:type="gramEnd"/>
      <w:r w:rsidRPr="00C6709C">
        <w:t xml:space="preserve"> members was completed. </w:t>
      </w:r>
      <w:r w:rsidR="00083DAA">
        <w:t xml:space="preserve">Chris </w:t>
      </w:r>
      <w:r w:rsidR="00572AE0">
        <w:t>provided an overview of the meeting’s purpose and objectives</w:t>
      </w:r>
      <w:r w:rsidR="00083DAA">
        <w:t xml:space="preserve">. </w:t>
      </w:r>
      <w:r w:rsidRPr="00C6709C">
        <w:t xml:space="preserve">The </w:t>
      </w:r>
      <w:r w:rsidR="007245DA">
        <w:t>DSG</w:t>
      </w:r>
      <w:r w:rsidRPr="00C6709C">
        <w:t xml:space="preserve"> approved the minutes from the previous meeting </w:t>
      </w:r>
      <w:r w:rsidR="00F63196">
        <w:t xml:space="preserve">minutes and </w:t>
      </w:r>
      <w:r w:rsidR="00F63196" w:rsidRPr="00F63196">
        <w:t xml:space="preserve">proceeded with a review of the current DSG Charter. Following </w:t>
      </w:r>
      <w:r w:rsidR="000852A1">
        <w:t xml:space="preserve">the </w:t>
      </w:r>
      <w:r w:rsidR="00F63196" w:rsidRPr="00F63196">
        <w:t>discussion, the group agreed to revise the charter and determined that the following provisions will remain in effect</w:t>
      </w:r>
      <w:r w:rsidR="00367A6C">
        <w:t>:</w:t>
      </w:r>
    </w:p>
    <w:p w14:paraId="67283F6D" w14:textId="33C60EEE" w:rsidR="00367A6C" w:rsidRDefault="004C7851" w:rsidP="00367A6C">
      <w:pPr>
        <w:pStyle w:val="ListParagraph"/>
        <w:numPr>
          <w:ilvl w:val="0"/>
          <w:numId w:val="5"/>
        </w:numPr>
      </w:pPr>
      <w:r>
        <w:t>Increase percentage</w:t>
      </w:r>
      <w:r w:rsidR="0049537E">
        <w:t xml:space="preserve"> of Agencies with complete Asset Inventory.</w:t>
      </w:r>
    </w:p>
    <w:p w14:paraId="02956900" w14:textId="7DA860CD" w:rsidR="00367A6C" w:rsidRDefault="0049537E" w:rsidP="00367A6C">
      <w:pPr>
        <w:pStyle w:val="ListParagraph"/>
        <w:numPr>
          <w:ilvl w:val="0"/>
          <w:numId w:val="5"/>
        </w:numPr>
      </w:pPr>
      <w:r>
        <w:t>Promote data governance and data literacy training.</w:t>
      </w:r>
    </w:p>
    <w:p w14:paraId="68293372" w14:textId="64C9C769" w:rsidR="00017A73" w:rsidRDefault="0049537E" w:rsidP="00367A6C">
      <w:pPr>
        <w:pStyle w:val="ListParagraph"/>
        <w:numPr>
          <w:ilvl w:val="0"/>
          <w:numId w:val="5"/>
        </w:numPr>
      </w:pPr>
      <w:r>
        <w:t>Data stewards will classify the data elements and tag them appropriately for proper contextual usage.</w:t>
      </w:r>
    </w:p>
    <w:p w14:paraId="17E00BA6" w14:textId="19449038" w:rsidR="00017A73" w:rsidRDefault="00352837" w:rsidP="00367A6C">
      <w:pPr>
        <w:pStyle w:val="ListParagraph"/>
        <w:numPr>
          <w:ilvl w:val="0"/>
          <w:numId w:val="5"/>
        </w:numPr>
      </w:pPr>
      <w:r>
        <w:t>Data stewards will create data quality standards for their data sets.</w:t>
      </w:r>
    </w:p>
    <w:p w14:paraId="28568D40" w14:textId="3FDCDE62" w:rsidR="009F2D18" w:rsidRDefault="009F2D18" w:rsidP="00B43595">
      <w:r w:rsidRPr="00B5150F">
        <w:rPr>
          <w:b/>
          <w:bCs/>
        </w:rPr>
        <w:t>Decision:</w:t>
      </w:r>
      <w:r>
        <w:t xml:space="preserve"> </w:t>
      </w:r>
      <w:r w:rsidR="00EA27D4">
        <w:t>Quorum has been met, and motions were approved. Attendee list and motions details are presented at the top.</w:t>
      </w:r>
    </w:p>
    <w:p w14:paraId="0316D059" w14:textId="77777777" w:rsidR="00AE1A08" w:rsidRDefault="00AE1A08" w:rsidP="00B43595"/>
    <w:p w14:paraId="686CC1C7" w14:textId="77777777" w:rsidR="003335C8" w:rsidRDefault="003335C8" w:rsidP="00B43595"/>
    <w:p w14:paraId="4522CF5D" w14:textId="0E0D842F" w:rsidR="00AE1A08" w:rsidRDefault="00AE1A08" w:rsidP="00B43595">
      <w:r w:rsidRPr="00AB62EE">
        <w:rPr>
          <w:b/>
          <w:bCs/>
        </w:rPr>
        <w:t>Agenda Item 2:</w:t>
      </w:r>
      <w:r>
        <w:t xml:space="preserve"> </w:t>
      </w:r>
      <w:r w:rsidR="00856230">
        <w:t>Data Governance</w:t>
      </w:r>
      <w:r w:rsidR="00295A2D">
        <w:t xml:space="preserve">, 1:25 PM </w:t>
      </w:r>
      <w:r w:rsidR="00DA0255">
        <w:t>– 1:57 PM</w:t>
      </w:r>
    </w:p>
    <w:p w14:paraId="0542BA19" w14:textId="74C01693" w:rsidR="00AE1A08" w:rsidRDefault="00AE1A08" w:rsidP="00B43595">
      <w:r w:rsidRPr="00AB62EE">
        <w:rPr>
          <w:b/>
          <w:bCs/>
        </w:rPr>
        <w:t>Presenter:</w:t>
      </w:r>
      <w:r>
        <w:t xml:space="preserve"> </w:t>
      </w:r>
      <w:r w:rsidR="00881129">
        <w:t>Director of Data Protection and Governance, Chris Burroughs</w:t>
      </w:r>
    </w:p>
    <w:p w14:paraId="1F80EFB4" w14:textId="7633FD38" w:rsidR="00AB62EE" w:rsidRDefault="00AE1A08" w:rsidP="00AB62EE">
      <w:r w:rsidRPr="00AB62EE">
        <w:rPr>
          <w:b/>
          <w:bCs/>
        </w:rPr>
        <w:t>Discussion:</w:t>
      </w:r>
      <w:r>
        <w:t xml:space="preserve"> </w:t>
      </w:r>
      <w:r w:rsidR="00F43557">
        <w:t>Chris</w:t>
      </w:r>
      <w:r w:rsidR="00AB62EE" w:rsidRPr="00AB62EE">
        <w:t xml:space="preserve"> provided an overview of the Government Data Collection and Dissemination Practices Act (GDCDPA) and several key data governance initiatives led by </w:t>
      </w:r>
      <w:r w:rsidR="00F43557">
        <w:t>ODGA. The</w:t>
      </w:r>
      <w:r w:rsidR="00AB62EE" w:rsidRPr="00AB62EE">
        <w:t xml:space="preserve"> GDCDPA governs how state and local government entities, universities, and suppliers collect, maintain, and share personal information. ODGA is responsible for improving compliance with this law, which requires covered entities to maintain system inventories, train staff, log data access, and provide citizens with rights to access and correct their information. The </w:t>
      </w:r>
      <w:r w:rsidR="0046410E">
        <w:t>GDCDPA</w:t>
      </w:r>
      <w:r w:rsidR="00AB62EE" w:rsidRPr="00AB62EE">
        <w:t xml:space="preserve"> permits data sharing for defined “proper purposes,” such as improving government efficiency, reducing administrative burdens, detecting fraud, and supporting research and policy development. Agencies must also notify individuals when data is shared for purposes beyond its original intent, except when shared through the Commonwealth Data Trust.</w:t>
      </w:r>
    </w:p>
    <w:p w14:paraId="46C4A1E7" w14:textId="77777777" w:rsidR="00843757" w:rsidRPr="00AB62EE" w:rsidRDefault="00843757" w:rsidP="00AB62EE"/>
    <w:p w14:paraId="2DE6AD7C" w14:textId="2BC60A0D" w:rsidR="00AE1A08" w:rsidRDefault="00AB62EE" w:rsidP="00B43595">
      <w:r w:rsidRPr="00AB62EE">
        <w:t xml:space="preserve">ODGA also presented updates on several ongoing initiatives, including achieving 100% compliance with agency web privacy policies and significant growth in the Open Data Portal, which now hosts over 31,500 </w:t>
      </w:r>
      <w:proofErr w:type="gramStart"/>
      <w:r w:rsidRPr="00AB62EE">
        <w:t>datasets</w:t>
      </w:r>
      <w:proofErr w:type="gramEnd"/>
      <w:r w:rsidRPr="00AB62EE">
        <w:t xml:space="preserve">. The </w:t>
      </w:r>
      <w:r w:rsidR="00295045">
        <w:t>ODGA</w:t>
      </w:r>
      <w:r w:rsidRPr="00AB62EE">
        <w:t xml:space="preserve"> continues to enhance data classification, management, and literacy efforts across the Commonwealth through the implementation of technical standards, expanded training programs, and the release of educational materials such as short instructional videos. Recognition of agencies through the Data Governance Awards</w:t>
      </w:r>
      <w:r w:rsidR="00295045">
        <w:t>,</w:t>
      </w:r>
      <w:r w:rsidRPr="00AB62EE">
        <w:t xml:space="preserve"> and increased participation in </w:t>
      </w:r>
      <w:proofErr w:type="spellStart"/>
      <w:r w:rsidRPr="00AB62EE">
        <w:t>Dataversity</w:t>
      </w:r>
      <w:proofErr w:type="spellEnd"/>
      <w:r w:rsidRPr="00AB62EE">
        <w:t xml:space="preserve"> courses</w:t>
      </w:r>
      <w:r w:rsidR="00295045">
        <w:t>,</w:t>
      </w:r>
      <w:r w:rsidRPr="00AB62EE">
        <w:t xml:space="preserve"> reflect growing maturity in data management and awareness. </w:t>
      </w:r>
      <w:r w:rsidR="003A2A98">
        <w:t>The DSG’s d</w:t>
      </w:r>
      <w:r w:rsidRPr="00AB62EE">
        <w:t xml:space="preserve">iscussion emphasized strategies to improve adoption of ODGA </w:t>
      </w:r>
      <w:proofErr w:type="gramStart"/>
      <w:r w:rsidRPr="00AB62EE">
        <w:t>resources—</w:t>
      </w:r>
      <w:proofErr w:type="gramEnd"/>
      <w:r w:rsidRPr="00AB62EE">
        <w:lastRenderedPageBreak/>
        <w:t>encouraging leadership engagement, integrating training into onboarding, and ensuring accessibility for government staff</w:t>
      </w:r>
      <w:r w:rsidR="00C2361E">
        <w:t>.</w:t>
      </w:r>
    </w:p>
    <w:p w14:paraId="08CA0E99" w14:textId="77777777" w:rsidR="00843757" w:rsidRDefault="00843757" w:rsidP="00B43595"/>
    <w:p w14:paraId="313CBBFE" w14:textId="694F3E0B" w:rsidR="00843757" w:rsidRDefault="00843757" w:rsidP="00B43595">
      <w:r>
        <w:t xml:space="preserve">Key Points covered: </w:t>
      </w:r>
    </w:p>
    <w:p w14:paraId="637ECB1D" w14:textId="0AD3F23C" w:rsidR="00A05C33" w:rsidRDefault="00BD1FD5" w:rsidP="00A05C33">
      <w:pPr>
        <w:pStyle w:val="ListParagraph"/>
        <w:numPr>
          <w:ilvl w:val="0"/>
          <w:numId w:val="4"/>
        </w:numPr>
      </w:pPr>
      <w:r>
        <w:t>Government Data Collection and Dissemination Practices Act (GDCDPA)</w:t>
      </w:r>
    </w:p>
    <w:p w14:paraId="357C39A2" w14:textId="28442024" w:rsidR="00BD1FD5" w:rsidRDefault="00F84597" w:rsidP="00A05C33">
      <w:pPr>
        <w:pStyle w:val="ListParagraph"/>
        <w:numPr>
          <w:ilvl w:val="0"/>
          <w:numId w:val="4"/>
        </w:numPr>
      </w:pPr>
      <w:r>
        <w:t>Data Governance Award Winners</w:t>
      </w:r>
    </w:p>
    <w:p w14:paraId="583AB643" w14:textId="32572172" w:rsidR="00754B36" w:rsidRDefault="00754B36" w:rsidP="00A05C33">
      <w:pPr>
        <w:pStyle w:val="ListParagraph"/>
        <w:numPr>
          <w:ilvl w:val="0"/>
          <w:numId w:val="4"/>
        </w:numPr>
      </w:pPr>
      <w:r>
        <w:t>ODGA Resources</w:t>
      </w:r>
    </w:p>
    <w:p w14:paraId="5C116F7F" w14:textId="3430C388" w:rsidR="00754B36" w:rsidRDefault="008F5C17" w:rsidP="00A05C33">
      <w:pPr>
        <w:pStyle w:val="ListParagraph"/>
        <w:numPr>
          <w:ilvl w:val="0"/>
          <w:numId w:val="4"/>
        </w:numPr>
      </w:pPr>
      <w:r>
        <w:t>ODGA Lunch &amp; Learns</w:t>
      </w:r>
    </w:p>
    <w:p w14:paraId="5A9E1E67" w14:textId="1C1C5132" w:rsidR="008F5C17" w:rsidRDefault="008F5C17" w:rsidP="00A05C33">
      <w:pPr>
        <w:pStyle w:val="ListParagraph"/>
        <w:numPr>
          <w:ilvl w:val="0"/>
          <w:numId w:val="4"/>
        </w:numPr>
      </w:pPr>
      <w:proofErr w:type="spellStart"/>
      <w:r>
        <w:t>Dataversity</w:t>
      </w:r>
      <w:proofErr w:type="spellEnd"/>
      <w:r>
        <w:t xml:space="preserve"> Update</w:t>
      </w:r>
    </w:p>
    <w:p w14:paraId="2D432C9E" w14:textId="1F8F4DC7" w:rsidR="0096193C" w:rsidRDefault="0096193C" w:rsidP="00A05C33">
      <w:pPr>
        <w:pStyle w:val="ListParagraph"/>
        <w:numPr>
          <w:ilvl w:val="0"/>
          <w:numId w:val="4"/>
        </w:numPr>
      </w:pPr>
      <w:r>
        <w:t>Data Literacy</w:t>
      </w:r>
    </w:p>
    <w:p w14:paraId="7C0E44A1" w14:textId="024AA1EC" w:rsidR="00AE1A08" w:rsidRDefault="00AE1A08" w:rsidP="00B43595">
      <w:r w:rsidRPr="00AB62EE">
        <w:rPr>
          <w:b/>
          <w:bCs/>
        </w:rPr>
        <w:t>Decision:</w:t>
      </w:r>
      <w:r>
        <w:t xml:space="preserve"> </w:t>
      </w:r>
      <w:r w:rsidR="00AB62EE">
        <w:t>N/A</w:t>
      </w:r>
    </w:p>
    <w:p w14:paraId="04F8DD66" w14:textId="77777777" w:rsidR="0075410B" w:rsidRDefault="0075410B" w:rsidP="00B43595"/>
    <w:p w14:paraId="1AAF58D7" w14:textId="77777777" w:rsidR="003335C8" w:rsidRDefault="003335C8" w:rsidP="00B43595"/>
    <w:p w14:paraId="6656EE59" w14:textId="5AE976FF" w:rsidR="0075410B" w:rsidRPr="00AC1CD0" w:rsidRDefault="0075410B" w:rsidP="0075410B">
      <w:r w:rsidRPr="00A64C3C">
        <w:rPr>
          <w:b/>
          <w:bCs/>
        </w:rPr>
        <w:t>Agenda Item 3:</w:t>
      </w:r>
      <w:r w:rsidRPr="00AC1CD0">
        <w:t xml:space="preserve"> </w:t>
      </w:r>
      <w:r w:rsidR="00856230" w:rsidRPr="00AC1CD0">
        <w:t>Interagency Data Sharing</w:t>
      </w:r>
      <w:r w:rsidR="00DA0255">
        <w:t xml:space="preserve">, 1:57 PM </w:t>
      </w:r>
      <w:r w:rsidR="00810259">
        <w:t>–</w:t>
      </w:r>
      <w:r w:rsidR="00DA0255">
        <w:t xml:space="preserve"> </w:t>
      </w:r>
      <w:r w:rsidR="00810259">
        <w:t>2:15 PM</w:t>
      </w:r>
    </w:p>
    <w:p w14:paraId="3002C09F" w14:textId="5410CD8A" w:rsidR="0075410B" w:rsidRPr="00AC1CD0" w:rsidRDefault="0075410B" w:rsidP="0075410B">
      <w:r w:rsidRPr="00A64C3C">
        <w:rPr>
          <w:b/>
          <w:bCs/>
        </w:rPr>
        <w:t>Presenter:</w:t>
      </w:r>
      <w:r w:rsidRPr="00AC1CD0">
        <w:t xml:space="preserve"> </w:t>
      </w:r>
      <w:r w:rsidR="00AC1CD0" w:rsidRPr="00AC1CD0">
        <w:t>Director of Data Protection and Governance, Chris Burroughs</w:t>
      </w:r>
    </w:p>
    <w:p w14:paraId="00978735" w14:textId="16B8CF0D" w:rsidR="00AC1CD0" w:rsidRPr="00AC1CD0" w:rsidRDefault="0075410B" w:rsidP="00AC1CD0">
      <w:r w:rsidRPr="00A64C3C">
        <w:rPr>
          <w:b/>
          <w:bCs/>
        </w:rPr>
        <w:t>Discussion:</w:t>
      </w:r>
      <w:r w:rsidRPr="00AC1CD0">
        <w:t xml:space="preserve"> </w:t>
      </w:r>
      <w:r w:rsidR="00BB51EB">
        <w:t>Chris</w:t>
      </w:r>
      <w:r w:rsidR="00AC1CD0" w:rsidRPr="00AC1CD0">
        <w:t xml:space="preserve"> highlighted the Commonwealth’s progress in interagency data sharing, focusing on the development of the Substance Use Data Analytics (SUDA) platform, a collaborative initiative led by </w:t>
      </w:r>
      <w:r w:rsidR="00BB51EB">
        <w:t>ODGA</w:t>
      </w:r>
      <w:r w:rsidR="00AC1CD0" w:rsidRPr="00AC1CD0">
        <w:t xml:space="preserve"> in partnership with </w:t>
      </w:r>
      <w:r w:rsidR="00BB51EB">
        <w:t xml:space="preserve">the </w:t>
      </w:r>
      <w:r w:rsidR="00AC1CD0" w:rsidRPr="00AC1CD0">
        <w:t>V</w:t>
      </w:r>
      <w:r w:rsidR="00BB51EB">
        <w:t xml:space="preserve">irginia </w:t>
      </w:r>
      <w:r w:rsidR="00AC1CD0" w:rsidRPr="00AC1CD0">
        <w:t>I</w:t>
      </w:r>
      <w:r w:rsidR="00BB51EB">
        <w:t xml:space="preserve">nformation </w:t>
      </w:r>
      <w:r w:rsidR="00AC1CD0" w:rsidRPr="00AC1CD0">
        <w:t>T</w:t>
      </w:r>
      <w:r w:rsidR="00BB51EB">
        <w:t xml:space="preserve">echnologies </w:t>
      </w:r>
      <w:r w:rsidR="00AC1CD0" w:rsidRPr="00AC1CD0">
        <w:t>A</w:t>
      </w:r>
      <w:r w:rsidR="00BB51EB">
        <w:t>gency (VITA)</w:t>
      </w:r>
      <w:r w:rsidR="00AC1CD0" w:rsidRPr="00AC1CD0">
        <w:t>, the Virginia Opioid Abatement Authority (VOAA), and several other agencies. Designed to support localities, public safety personnel, and healthcare providers in addressing the opioid crisis, the platform integrates multiple datasets across agencies to provide comprehensive insights into substance use trends, intervention effectiveness, and outcomes. It enables users to analyze data on drug supply, usage, and overdoses—helping stakeholders evaluate progress, measure impact, and strengthen data-driven responses. The SUDA platform also supports VOAA grant applications by providing reliable, evidence-based data to justify funding requests.</w:t>
      </w:r>
      <w:r w:rsidR="007469D7">
        <w:t xml:space="preserve"> Chris provided </w:t>
      </w:r>
      <w:r w:rsidR="007469D7" w:rsidRPr="007469D7">
        <w:t>a live demonstration of the platform</w:t>
      </w:r>
      <w:r w:rsidR="007469D7">
        <w:t>,</w:t>
      </w:r>
      <w:r w:rsidR="007469D7" w:rsidRPr="007469D7">
        <w:t xml:space="preserve"> showcasing its analytical capabilities and the depth of insights it can generate.</w:t>
      </w:r>
    </w:p>
    <w:p w14:paraId="7DA21D86" w14:textId="77777777" w:rsidR="00AC1CD0" w:rsidRPr="00AC1CD0" w:rsidRDefault="00AC1CD0" w:rsidP="00AC1CD0"/>
    <w:p w14:paraId="74A46A00" w14:textId="32B747FA" w:rsidR="0075410B" w:rsidRDefault="00AC1CD0" w:rsidP="0075410B">
      <w:r w:rsidRPr="00AC1CD0">
        <w:t xml:space="preserve">SUDA exemplifies large-scale data collaboration in Virginia, incorporating strict data governance, suppression rules, and multi-agency validation processes to ensure data privacy and accuracy. Access is restricted through </w:t>
      </w:r>
      <w:r w:rsidR="007469D7">
        <w:t>OKTA</w:t>
      </w:r>
      <w:r w:rsidRPr="00AC1CD0">
        <w:t xml:space="preserve"> authentication and governed by non-disclosure agreements, with data categorized under ODGA’s tiered data governance model. Most data currently </w:t>
      </w:r>
      <w:proofErr w:type="gramStart"/>
      <w:r w:rsidRPr="00AC1CD0">
        <w:t>falls</w:t>
      </w:r>
      <w:proofErr w:type="gramEnd"/>
      <w:r w:rsidRPr="00AC1CD0">
        <w:t xml:space="preserve"> under Tier 1 (internal use only), with plans to incorporate more sensitive tiers in the future. The initiative reflects the Commonwealth’s commitment to responsible, auditable data sharing through the Commonwealth Data Trust framework. Attendees commended SUDA as a model for future data-sharing efforts, emphasizing its value as a tool for analytics-driven decision-making and cross-agency collaboration.</w:t>
      </w:r>
    </w:p>
    <w:p w14:paraId="7273D1D7" w14:textId="77777777" w:rsidR="002D1E28" w:rsidRDefault="002D1E28" w:rsidP="0075410B"/>
    <w:p w14:paraId="7C9F4A33" w14:textId="7514FE8E" w:rsidR="002D1E28" w:rsidRDefault="002D1E28" w:rsidP="0075410B">
      <w:r>
        <w:t>Key Points covered:</w:t>
      </w:r>
    </w:p>
    <w:p w14:paraId="7C1ED0A5" w14:textId="5CDC83B5" w:rsidR="002D1E28" w:rsidRDefault="002D1E28" w:rsidP="002D1E28">
      <w:pPr>
        <w:pStyle w:val="ListParagraph"/>
        <w:numPr>
          <w:ilvl w:val="0"/>
          <w:numId w:val="4"/>
        </w:numPr>
      </w:pPr>
      <w:r>
        <w:t>SUDA Overview &amp; Demonstration</w:t>
      </w:r>
    </w:p>
    <w:p w14:paraId="5BDA78FB" w14:textId="1CED648E" w:rsidR="002D1E28" w:rsidRDefault="0034746D" w:rsidP="002D1E28">
      <w:pPr>
        <w:pStyle w:val="ListParagraph"/>
        <w:numPr>
          <w:ilvl w:val="0"/>
          <w:numId w:val="4"/>
        </w:numPr>
      </w:pPr>
      <w:r>
        <w:t>Agency Collaboration</w:t>
      </w:r>
    </w:p>
    <w:p w14:paraId="1B253958" w14:textId="27E93A75" w:rsidR="0034746D" w:rsidRDefault="00DB60A7" w:rsidP="002D1E28">
      <w:pPr>
        <w:pStyle w:val="ListParagraph"/>
        <w:numPr>
          <w:ilvl w:val="0"/>
          <w:numId w:val="4"/>
        </w:numPr>
      </w:pPr>
      <w:r>
        <w:t>Controlled Access to the SUDA Platform</w:t>
      </w:r>
    </w:p>
    <w:p w14:paraId="4058CB67" w14:textId="39C3C2CC" w:rsidR="00DB60A7" w:rsidRDefault="00DB60A7" w:rsidP="002D1E28">
      <w:pPr>
        <w:pStyle w:val="ListParagraph"/>
        <w:numPr>
          <w:ilvl w:val="0"/>
          <w:numId w:val="4"/>
        </w:numPr>
      </w:pPr>
      <w:r>
        <w:lastRenderedPageBreak/>
        <w:t>Next Steps</w:t>
      </w:r>
    </w:p>
    <w:p w14:paraId="628384D3" w14:textId="194236A7" w:rsidR="0075410B" w:rsidRDefault="0075410B" w:rsidP="0075410B">
      <w:r w:rsidRPr="00A64C3C">
        <w:rPr>
          <w:b/>
          <w:bCs/>
        </w:rPr>
        <w:t>Decision:</w:t>
      </w:r>
      <w:r>
        <w:t xml:space="preserve"> </w:t>
      </w:r>
      <w:r w:rsidR="00A64C3C">
        <w:t>N/A</w:t>
      </w:r>
    </w:p>
    <w:p w14:paraId="428DF3D5" w14:textId="77777777" w:rsidR="0075410B" w:rsidRDefault="0075410B" w:rsidP="0075410B"/>
    <w:p w14:paraId="34DAFE39" w14:textId="77777777" w:rsidR="003335C8" w:rsidRDefault="003335C8" w:rsidP="0075410B"/>
    <w:p w14:paraId="77D0F046" w14:textId="73703D75" w:rsidR="0075410B" w:rsidRDefault="0075410B" w:rsidP="0075410B">
      <w:r w:rsidRPr="001B0194">
        <w:rPr>
          <w:b/>
          <w:bCs/>
        </w:rPr>
        <w:t>Agenda Item 4:</w:t>
      </w:r>
      <w:r>
        <w:t xml:space="preserve"> Break</w:t>
      </w:r>
      <w:r w:rsidR="001B0194">
        <w:t>, 2:15 PM – 2:20 PM</w:t>
      </w:r>
    </w:p>
    <w:p w14:paraId="619FF47D" w14:textId="77777777" w:rsidR="0075410B" w:rsidRDefault="0075410B" w:rsidP="0075410B"/>
    <w:p w14:paraId="4F30A347" w14:textId="77777777" w:rsidR="003335C8" w:rsidRDefault="003335C8" w:rsidP="0075410B">
      <w:pPr>
        <w:rPr>
          <w:b/>
          <w:bCs/>
        </w:rPr>
      </w:pPr>
    </w:p>
    <w:p w14:paraId="30FC241C" w14:textId="7DE1A6E4" w:rsidR="0075410B" w:rsidRDefault="0075410B" w:rsidP="0075410B">
      <w:r w:rsidRPr="003335C8">
        <w:rPr>
          <w:b/>
          <w:bCs/>
        </w:rPr>
        <w:t>Agenda Item 5:</w:t>
      </w:r>
      <w:r>
        <w:t xml:space="preserve"> </w:t>
      </w:r>
      <w:r w:rsidR="00856230">
        <w:t>Visualizations Best Practices</w:t>
      </w:r>
      <w:r w:rsidR="00810259">
        <w:t>, 2:20 PM – 2:33 PM</w:t>
      </w:r>
    </w:p>
    <w:p w14:paraId="54020423" w14:textId="67C98AA1" w:rsidR="0075410B" w:rsidRDefault="0075410B" w:rsidP="0075410B">
      <w:r w:rsidRPr="003335C8">
        <w:rPr>
          <w:b/>
          <w:bCs/>
        </w:rPr>
        <w:t>Presenter:</w:t>
      </w:r>
      <w:r>
        <w:t xml:space="preserve"> </w:t>
      </w:r>
      <w:r w:rsidR="00CA0016">
        <w:t>Data Architect, Payton Lamb</w:t>
      </w:r>
    </w:p>
    <w:p w14:paraId="5BCB5FA3" w14:textId="207953D2" w:rsidR="00A732F4" w:rsidRPr="00A732F4" w:rsidRDefault="0075410B" w:rsidP="00A732F4">
      <w:r w:rsidRPr="003335C8">
        <w:rPr>
          <w:b/>
          <w:bCs/>
        </w:rPr>
        <w:t>Discussion:</w:t>
      </w:r>
      <w:r>
        <w:t xml:space="preserve"> </w:t>
      </w:r>
      <w:r w:rsidR="00A732F4">
        <w:t>T</w:t>
      </w:r>
      <w:r w:rsidR="00A732F4" w:rsidRPr="00A732F4">
        <w:t xml:space="preserve">he primary goal of ODGA’s Power BI dashboards is to effectively communicate insights and support decision-making rather than manipulate data. </w:t>
      </w:r>
      <w:r w:rsidR="00A732F4">
        <w:t>Payton</w:t>
      </w:r>
      <w:r w:rsidR="00A732F4" w:rsidRPr="00A732F4">
        <w:t xml:space="preserve"> discussed common visualization pitfalls, including dashboards that extend beyond a single view, misaligned elements, unnecessary information, unclear visuals, and poor color choices. </w:t>
      </w:r>
      <w:r w:rsidR="00A732F4">
        <w:t>He</w:t>
      </w:r>
      <w:r w:rsidR="00A732F4" w:rsidRPr="00A732F4">
        <w:t xml:space="preserve"> highlighted the importance of simplicity, consistency, and clarity—encouraging designers to keep dashboards concise, visually aligned, and free of clutter. </w:t>
      </w:r>
      <w:r w:rsidR="00907D50">
        <w:t>Effective</w:t>
      </w:r>
      <w:r w:rsidR="00A732F4" w:rsidRPr="00A732F4">
        <w:t xml:space="preserve"> visualizations should start from zero for accurate scaling, use appropriate colors and labels, and avoid overwhelming users with excessive detail.</w:t>
      </w:r>
    </w:p>
    <w:p w14:paraId="2563A3A6" w14:textId="77777777" w:rsidR="00A732F4" w:rsidRDefault="00A732F4" w:rsidP="00A732F4"/>
    <w:p w14:paraId="6C6594DE" w14:textId="2A2C1EDE" w:rsidR="0075410B" w:rsidRDefault="00907D50" w:rsidP="0075410B">
      <w:r>
        <w:t>Payton</w:t>
      </w:r>
      <w:r w:rsidR="00A732F4" w:rsidRPr="00A732F4">
        <w:t xml:space="preserve"> further covered principles for success</w:t>
      </w:r>
      <w:r>
        <w:t>,</w:t>
      </w:r>
      <w:r w:rsidR="00A732F4" w:rsidRPr="00A732F4">
        <w:t xml:space="preserve"> such as knowing the audience, choosing the right visualization type, maintaining visual hierarchy, and providing clear requirements to developers. </w:t>
      </w:r>
      <w:r w:rsidR="00B77ADE">
        <w:t>There’s</w:t>
      </w:r>
      <w:r w:rsidR="00A732F4" w:rsidRPr="00A732F4">
        <w:t xml:space="preserve"> value of proper planning, discovery, and user acceptance testing (UAT) to ensure dashboards meet business needs and accurately convey their intended messages. </w:t>
      </w:r>
      <w:r w:rsidR="00377440">
        <w:t xml:space="preserve">He discussed </w:t>
      </w:r>
      <w:r w:rsidR="00A732F4" w:rsidRPr="00A732F4">
        <w:t>the importance of designing Power BI dashboards that tell a clear story, deliver actionable insights, and empower data-driven decisions that best serve the Commonwealth. Participants were encouraged to focus on functionality and purpose over aesthetics, aligning visualizations with ODGA’s broader mission of advancing data governance, analytics, and collaboration across agencies.</w:t>
      </w:r>
    </w:p>
    <w:p w14:paraId="3D351560" w14:textId="77777777" w:rsidR="00626867" w:rsidRDefault="00626867" w:rsidP="0075410B"/>
    <w:p w14:paraId="67A823AF" w14:textId="1C670073" w:rsidR="00626867" w:rsidRDefault="00626867" w:rsidP="0075410B">
      <w:r>
        <w:t>Key Points covered:</w:t>
      </w:r>
    </w:p>
    <w:p w14:paraId="3EFBDA87" w14:textId="71A6B509" w:rsidR="00626867" w:rsidRDefault="00626867" w:rsidP="00626867">
      <w:pPr>
        <w:pStyle w:val="ListParagraph"/>
        <w:numPr>
          <w:ilvl w:val="0"/>
          <w:numId w:val="4"/>
        </w:numPr>
      </w:pPr>
      <w:r>
        <w:t>Critical Design Mistakes</w:t>
      </w:r>
    </w:p>
    <w:p w14:paraId="69B1B57B" w14:textId="282BFD2B" w:rsidR="00626867" w:rsidRDefault="00AB34AD" w:rsidP="00626867">
      <w:pPr>
        <w:pStyle w:val="ListParagraph"/>
        <w:numPr>
          <w:ilvl w:val="0"/>
          <w:numId w:val="4"/>
        </w:numPr>
      </w:pPr>
      <w:r>
        <w:t>Audience Awareness</w:t>
      </w:r>
    </w:p>
    <w:p w14:paraId="14B80E80" w14:textId="18A653E3" w:rsidR="00AB34AD" w:rsidRDefault="00AB34AD" w:rsidP="00626867">
      <w:pPr>
        <w:pStyle w:val="ListParagraph"/>
        <w:numPr>
          <w:ilvl w:val="0"/>
          <w:numId w:val="4"/>
        </w:numPr>
      </w:pPr>
      <w:r>
        <w:t>Design Principles for Success</w:t>
      </w:r>
    </w:p>
    <w:p w14:paraId="1D9043DB" w14:textId="36A4A9D2" w:rsidR="00EF2C9F" w:rsidRDefault="00EF2C9F" w:rsidP="00626867">
      <w:pPr>
        <w:pStyle w:val="ListParagraph"/>
        <w:numPr>
          <w:ilvl w:val="0"/>
          <w:numId w:val="4"/>
        </w:numPr>
      </w:pPr>
      <w:r>
        <w:t>Best Practices</w:t>
      </w:r>
    </w:p>
    <w:p w14:paraId="100D06E8" w14:textId="740F426C" w:rsidR="0075410B" w:rsidRDefault="0075410B" w:rsidP="0075410B">
      <w:r w:rsidRPr="003335C8">
        <w:rPr>
          <w:b/>
          <w:bCs/>
        </w:rPr>
        <w:t>Decision:</w:t>
      </w:r>
      <w:r>
        <w:t xml:space="preserve"> </w:t>
      </w:r>
      <w:r w:rsidR="003335C8">
        <w:t>N/A</w:t>
      </w:r>
    </w:p>
    <w:p w14:paraId="73842E96" w14:textId="77777777" w:rsidR="0075410B" w:rsidRDefault="0075410B" w:rsidP="0075410B"/>
    <w:p w14:paraId="257431FA" w14:textId="77777777" w:rsidR="003335C8" w:rsidRDefault="003335C8" w:rsidP="0075410B"/>
    <w:p w14:paraId="1E5B8C65" w14:textId="64CD76A3" w:rsidR="0075410B" w:rsidRPr="008A5F73" w:rsidRDefault="0075410B" w:rsidP="0075410B">
      <w:r w:rsidRPr="008A5F73">
        <w:rPr>
          <w:b/>
          <w:bCs/>
        </w:rPr>
        <w:t>Agenda Item 6:</w:t>
      </w:r>
      <w:r w:rsidRPr="008A5F73">
        <w:t xml:space="preserve"> </w:t>
      </w:r>
      <w:r w:rsidR="00856230" w:rsidRPr="008A5F73">
        <w:t>ODGA Events/2026 Planning, Member and Public Comment, Adjourn</w:t>
      </w:r>
      <w:r w:rsidR="00810259">
        <w:t xml:space="preserve">, 2:33 PM </w:t>
      </w:r>
      <w:r w:rsidR="005E2D61">
        <w:t>–</w:t>
      </w:r>
      <w:r w:rsidR="00810259">
        <w:t xml:space="preserve"> </w:t>
      </w:r>
      <w:r w:rsidR="005E2D61">
        <w:t>2:44 PM</w:t>
      </w:r>
    </w:p>
    <w:p w14:paraId="3925C054" w14:textId="4232530E" w:rsidR="0075410B" w:rsidRPr="008A5F73" w:rsidRDefault="0075410B" w:rsidP="0075410B">
      <w:r w:rsidRPr="008A5F73">
        <w:rPr>
          <w:b/>
          <w:bCs/>
        </w:rPr>
        <w:t>Presenter:</w:t>
      </w:r>
      <w:r w:rsidRPr="008A5F73">
        <w:t xml:space="preserve"> </w:t>
      </w:r>
      <w:r w:rsidR="00B1179E" w:rsidRPr="008A5F73">
        <w:t xml:space="preserve">Data </w:t>
      </w:r>
      <w:r w:rsidR="0092325A" w:rsidRPr="008A5F73">
        <w:t>Engagement Manager, Jessi Bailey</w:t>
      </w:r>
    </w:p>
    <w:p w14:paraId="71FAA4C9" w14:textId="40464968" w:rsidR="008A5F73" w:rsidRDefault="0075410B" w:rsidP="008A5F73">
      <w:r w:rsidRPr="008A5F73">
        <w:rPr>
          <w:b/>
          <w:bCs/>
        </w:rPr>
        <w:t>Discussion:</w:t>
      </w:r>
      <w:r w:rsidRPr="008A5F73">
        <w:t xml:space="preserve"> </w:t>
      </w:r>
      <w:r w:rsidR="00B46EF1">
        <w:t>Jessi provided</w:t>
      </w:r>
      <w:r w:rsidR="008A5F73" w:rsidRPr="008A5F73">
        <w:t xml:space="preserve"> an overview of recent and upcoming initiatives from </w:t>
      </w:r>
      <w:r w:rsidR="00B46EF1">
        <w:t>ODGA.</w:t>
      </w:r>
      <w:r w:rsidR="008A5F73" w:rsidRPr="008A5F73">
        <w:t xml:space="preserve"> Attendees were reminded that the </w:t>
      </w:r>
      <w:r w:rsidR="008A5F73" w:rsidRPr="00D53F7A">
        <w:rPr>
          <w:i/>
          <w:iCs/>
        </w:rPr>
        <w:t>Visualization Best Practices Part 2</w:t>
      </w:r>
      <w:r w:rsidR="008A5F73" w:rsidRPr="008A5F73">
        <w:t xml:space="preserve"> presentation recording is available in the Data Literacy Library for staff reference. Additional sessions, including </w:t>
      </w:r>
      <w:r w:rsidR="008A5F73" w:rsidRPr="00D53F7A">
        <w:rPr>
          <w:i/>
          <w:iCs/>
        </w:rPr>
        <w:t>Data for Executives</w:t>
      </w:r>
      <w:r w:rsidR="008A5F73" w:rsidRPr="008A5F73">
        <w:t xml:space="preserve"> and </w:t>
      </w:r>
      <w:r w:rsidR="008A5F73" w:rsidRPr="00D53F7A">
        <w:rPr>
          <w:i/>
          <w:iCs/>
        </w:rPr>
        <w:t>Data Risk Issues</w:t>
      </w:r>
      <w:r w:rsidR="008A5F73" w:rsidRPr="008A5F73">
        <w:t xml:space="preserve">, were also highlighted. </w:t>
      </w:r>
      <w:r w:rsidR="008A5F73" w:rsidRPr="008A5F73">
        <w:lastRenderedPageBreak/>
        <w:t xml:space="preserve">Upcoming Lunch and Learn sessions will cover the Virginia Data Collection and Dissemination Practices Act, with separate sessions scheduled for colleges and universities in November and for localities in December. ODGA also announced participation in the </w:t>
      </w:r>
      <w:r w:rsidR="000E4942">
        <w:t>“</w:t>
      </w:r>
      <w:r w:rsidR="008A5F73" w:rsidRPr="008A5F73">
        <w:t>On the Square</w:t>
      </w:r>
      <w:r w:rsidR="000E4942">
        <w:t>”</w:t>
      </w:r>
      <w:r w:rsidR="008A5F73" w:rsidRPr="008A5F73">
        <w:t xml:space="preserve"> event on October 29, titled </w:t>
      </w:r>
      <w:r w:rsidR="008A5F73" w:rsidRPr="008A5F73">
        <w:rPr>
          <w:i/>
          <w:iCs/>
        </w:rPr>
        <w:t>“Demystifying Data with ODGA.”</w:t>
      </w:r>
      <w:r w:rsidR="008A5F73" w:rsidRPr="008A5F73">
        <w:t xml:space="preserve"> The Data Management Maturity Assessment has been postponed to 2026 following a comprehensive redesign, and the previous version remains available on the ODGA website.</w:t>
      </w:r>
    </w:p>
    <w:p w14:paraId="7DB418B1" w14:textId="77777777" w:rsidR="000E4942" w:rsidRPr="008A5F73" w:rsidRDefault="000E4942" w:rsidP="008A5F73"/>
    <w:p w14:paraId="785034D9" w14:textId="4444912C" w:rsidR="0075410B" w:rsidRDefault="008A5F73" w:rsidP="0075410B">
      <w:r w:rsidRPr="008A5F73">
        <w:t xml:space="preserve">Looking ahead to 2026, participants were invited to share feedback on how ODGA can enhance its support and resources. Discussion topics included upcoming federal accessibility requirements, strategies for agency outreach, expanding Lunch and Learn offerings, and improving cross-agency collaboration. Members expressed appreciation for ODGA’s existing resources and encouraged continued growth in data services and tool accessibility, particularly in relation to Informatica and Purview. Suggestions for increased engagement included hosting a Data Governance social event or services fair to foster networking and recognition among agencies. </w:t>
      </w:r>
    </w:p>
    <w:p w14:paraId="649042DA" w14:textId="77777777" w:rsidR="000E4942" w:rsidRDefault="000E4942" w:rsidP="0075410B"/>
    <w:p w14:paraId="749A8C00" w14:textId="7D22CC24" w:rsidR="0008602F" w:rsidRDefault="0008602F" w:rsidP="0075410B">
      <w:r>
        <w:t>Key Points covered:</w:t>
      </w:r>
    </w:p>
    <w:p w14:paraId="4E25F62F" w14:textId="769DC1F5" w:rsidR="0008602F" w:rsidRDefault="0008602F" w:rsidP="0008602F">
      <w:pPr>
        <w:pStyle w:val="ListParagraph"/>
        <w:numPr>
          <w:ilvl w:val="0"/>
          <w:numId w:val="4"/>
        </w:numPr>
      </w:pPr>
      <w:r>
        <w:t>Recent and Upcoming Events</w:t>
      </w:r>
    </w:p>
    <w:p w14:paraId="772615B9" w14:textId="477D924E" w:rsidR="0008602F" w:rsidRDefault="0061726F" w:rsidP="0008602F">
      <w:pPr>
        <w:pStyle w:val="ListParagraph"/>
        <w:numPr>
          <w:ilvl w:val="0"/>
          <w:numId w:val="4"/>
        </w:numPr>
      </w:pPr>
      <w:r>
        <w:t>2026 DMMA</w:t>
      </w:r>
    </w:p>
    <w:p w14:paraId="5A8DE305" w14:textId="6D4F1E17" w:rsidR="0061726F" w:rsidRPr="008A5F73" w:rsidRDefault="00605F80" w:rsidP="0008602F">
      <w:pPr>
        <w:pStyle w:val="ListParagraph"/>
        <w:numPr>
          <w:ilvl w:val="0"/>
          <w:numId w:val="4"/>
        </w:numPr>
      </w:pPr>
      <w:r>
        <w:t>Recommendations for 2026</w:t>
      </w:r>
    </w:p>
    <w:p w14:paraId="2E341021" w14:textId="270F5C47" w:rsidR="0075410B" w:rsidRPr="008A5F73" w:rsidRDefault="0075410B" w:rsidP="0075410B">
      <w:r w:rsidRPr="008A5F73">
        <w:rPr>
          <w:b/>
          <w:bCs/>
        </w:rPr>
        <w:t>Decision:</w:t>
      </w:r>
      <w:r w:rsidRPr="008A5F73">
        <w:t xml:space="preserve"> </w:t>
      </w:r>
      <w:r w:rsidR="008A5F73" w:rsidRPr="008A5F73">
        <w:t>N/A</w:t>
      </w:r>
    </w:p>
    <w:p w14:paraId="5EC459D6" w14:textId="77777777" w:rsidR="005075F8" w:rsidRDefault="005075F8" w:rsidP="00B43595"/>
    <w:p w14:paraId="31AC657A" w14:textId="77777777" w:rsidR="003335C8" w:rsidRDefault="003335C8" w:rsidP="00B43595"/>
    <w:p w14:paraId="3878209D" w14:textId="77777777" w:rsidR="008A5F73" w:rsidRDefault="00BE10F3" w:rsidP="00BE10F3">
      <w:r w:rsidRPr="004F31C5">
        <w:rPr>
          <w:rStyle w:val="Heading4Char"/>
        </w:rPr>
        <w:t>Next meeting:</w:t>
      </w:r>
      <w:r w:rsidRPr="001B3210">
        <w:t xml:space="preserve"> </w:t>
      </w:r>
    </w:p>
    <w:p w14:paraId="35778F59" w14:textId="448D30A5" w:rsidR="00BE10F3" w:rsidRDefault="008A5F73" w:rsidP="00BE10F3">
      <w:r>
        <w:t>TBD</w:t>
      </w:r>
      <w:r w:rsidR="00BE10F3">
        <w:t xml:space="preserve"> </w:t>
      </w:r>
    </w:p>
    <w:p w14:paraId="6BEA5224" w14:textId="77777777" w:rsidR="005075F8" w:rsidRDefault="005075F8" w:rsidP="00B43595"/>
    <w:p w14:paraId="55618A43" w14:textId="2E380E37" w:rsidR="00A223A8" w:rsidRDefault="00A223A8" w:rsidP="00BE10F3">
      <w:pPr>
        <w:spacing w:after="360"/>
      </w:pPr>
    </w:p>
    <w:sectPr w:rsidR="00A223A8" w:rsidSect="0054420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1D4D6" w14:textId="77777777" w:rsidR="00A2307A" w:rsidRDefault="00A2307A" w:rsidP="007D2AB9">
      <w:r>
        <w:separator/>
      </w:r>
    </w:p>
  </w:endnote>
  <w:endnote w:type="continuationSeparator" w:id="0">
    <w:p w14:paraId="2D1817D7" w14:textId="77777777" w:rsidR="00A2307A" w:rsidRDefault="00A2307A" w:rsidP="007D2AB9">
      <w:r>
        <w:continuationSeparator/>
      </w:r>
    </w:p>
  </w:endnote>
  <w:endnote w:type="continuationNotice" w:id="1">
    <w:p w14:paraId="03A820DA" w14:textId="77777777" w:rsidR="00A2307A" w:rsidRDefault="00A23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5D09" w14:textId="77777777" w:rsidR="00E85FC7" w:rsidRDefault="00E85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7BD9" w14:textId="12C80BBA" w:rsidR="006D3262" w:rsidRDefault="006D3262" w:rsidP="006D3262">
    <w:pPr>
      <w:pStyle w:val="Footer"/>
      <w:jc w:val="center"/>
    </w:pPr>
    <w:r>
      <w:rPr>
        <w:noProof/>
      </w:rPr>
      <w:drawing>
        <wp:inline distT="0" distB="0" distL="0" distR="0" wp14:anchorId="1F769485" wp14:editId="7668E2AB">
          <wp:extent cx="2606722" cy="631907"/>
          <wp:effectExtent l="0" t="0" r="3175" b="0"/>
          <wp:docPr id="8617810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78105"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41052" cy="64022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F265" w14:textId="0E473AF7" w:rsidR="006C1D72" w:rsidRDefault="0049398F" w:rsidP="006D3262">
    <w:pPr>
      <w:pStyle w:val="Footer"/>
      <w:jc w:val="center"/>
    </w:pPr>
    <w:r>
      <w:rPr>
        <w:noProof/>
      </w:rPr>
      <w:drawing>
        <wp:inline distT="0" distB="0" distL="0" distR="0" wp14:anchorId="6D66CAE1" wp14:editId="30CCA62B">
          <wp:extent cx="2606722" cy="631907"/>
          <wp:effectExtent l="0" t="0" r="3175" b="0"/>
          <wp:docPr id="26442449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424497"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41052" cy="6402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8E08A" w14:textId="77777777" w:rsidR="00A2307A" w:rsidRDefault="00A2307A" w:rsidP="007D2AB9">
      <w:r>
        <w:separator/>
      </w:r>
    </w:p>
  </w:footnote>
  <w:footnote w:type="continuationSeparator" w:id="0">
    <w:p w14:paraId="425EE8B1" w14:textId="77777777" w:rsidR="00A2307A" w:rsidRDefault="00A2307A" w:rsidP="007D2AB9">
      <w:r>
        <w:continuationSeparator/>
      </w:r>
    </w:p>
  </w:footnote>
  <w:footnote w:type="continuationNotice" w:id="1">
    <w:p w14:paraId="1864B818" w14:textId="77777777" w:rsidR="00A2307A" w:rsidRDefault="00A230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E868" w14:textId="77777777" w:rsidR="00E85FC7" w:rsidRDefault="00E85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DD43" w14:textId="77777777" w:rsidR="00E85FC7" w:rsidRDefault="00E85F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0C14" w14:textId="65832270" w:rsidR="00544202" w:rsidRDefault="006E6497">
    <w:pPr>
      <w:pStyle w:val="Header"/>
    </w:pPr>
    <w:sdt>
      <w:sdtPr>
        <w:id w:val="-442925241"/>
        <w:docPartObj>
          <w:docPartGallery w:val="Watermarks"/>
          <w:docPartUnique/>
        </w:docPartObj>
      </w:sdtPr>
      <w:sdtContent>
        <w:r>
          <w:rPr>
            <w:noProof/>
          </w:rPr>
          <w:pict w14:anchorId="25540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7"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4420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D0A"/>
    <w:multiLevelType w:val="hybridMultilevel"/>
    <w:tmpl w:val="C38447DE"/>
    <w:lvl w:ilvl="0" w:tplc="517A2E46">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277507"/>
    <w:multiLevelType w:val="hybridMultilevel"/>
    <w:tmpl w:val="C4407254"/>
    <w:lvl w:ilvl="0" w:tplc="AB0C9D5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61461"/>
    <w:multiLevelType w:val="hybridMultilevel"/>
    <w:tmpl w:val="D0001728"/>
    <w:lvl w:ilvl="0" w:tplc="7D38692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3562D4C"/>
    <w:multiLevelType w:val="hybridMultilevel"/>
    <w:tmpl w:val="8272EE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F65BF4"/>
    <w:multiLevelType w:val="hybridMultilevel"/>
    <w:tmpl w:val="F8F8E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2969235">
    <w:abstractNumId w:val="4"/>
  </w:num>
  <w:num w:numId="2" w16cid:durableId="2069524202">
    <w:abstractNumId w:val="2"/>
  </w:num>
  <w:num w:numId="3" w16cid:durableId="2092193859">
    <w:abstractNumId w:val="1"/>
  </w:num>
  <w:num w:numId="4" w16cid:durableId="1102528436">
    <w:abstractNumId w:val="0"/>
  </w:num>
  <w:num w:numId="5" w16cid:durableId="1287615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B9"/>
    <w:rsid w:val="00001920"/>
    <w:rsid w:val="00015A99"/>
    <w:rsid w:val="00015E9C"/>
    <w:rsid w:val="00017A73"/>
    <w:rsid w:val="00030F13"/>
    <w:rsid w:val="00033FCC"/>
    <w:rsid w:val="00042E5D"/>
    <w:rsid w:val="00055984"/>
    <w:rsid w:val="0005705D"/>
    <w:rsid w:val="00066729"/>
    <w:rsid w:val="00076274"/>
    <w:rsid w:val="00080BD5"/>
    <w:rsid w:val="00083DAA"/>
    <w:rsid w:val="000852A1"/>
    <w:rsid w:val="0008602F"/>
    <w:rsid w:val="000B0937"/>
    <w:rsid w:val="000D0DC3"/>
    <w:rsid w:val="000D31E7"/>
    <w:rsid w:val="000E4942"/>
    <w:rsid w:val="000F771D"/>
    <w:rsid w:val="00115421"/>
    <w:rsid w:val="00124A97"/>
    <w:rsid w:val="00136D17"/>
    <w:rsid w:val="00147FD6"/>
    <w:rsid w:val="00173957"/>
    <w:rsid w:val="00183178"/>
    <w:rsid w:val="001900EA"/>
    <w:rsid w:val="0019531E"/>
    <w:rsid w:val="001A2CC3"/>
    <w:rsid w:val="001B0194"/>
    <w:rsid w:val="001B3210"/>
    <w:rsid w:val="001B6415"/>
    <w:rsid w:val="001E5AA6"/>
    <w:rsid w:val="001F25D1"/>
    <w:rsid w:val="00204CE5"/>
    <w:rsid w:val="0021254D"/>
    <w:rsid w:val="00220F0C"/>
    <w:rsid w:val="00244277"/>
    <w:rsid w:val="00281ECB"/>
    <w:rsid w:val="00282A00"/>
    <w:rsid w:val="002940B5"/>
    <w:rsid w:val="00295045"/>
    <w:rsid w:val="00295A2D"/>
    <w:rsid w:val="002A1615"/>
    <w:rsid w:val="002B07C2"/>
    <w:rsid w:val="002C34E8"/>
    <w:rsid w:val="002C58C4"/>
    <w:rsid w:val="002C63BA"/>
    <w:rsid w:val="002D1E28"/>
    <w:rsid w:val="002E0FB1"/>
    <w:rsid w:val="002E76E5"/>
    <w:rsid w:val="002F55AD"/>
    <w:rsid w:val="00300E23"/>
    <w:rsid w:val="00312078"/>
    <w:rsid w:val="003335C8"/>
    <w:rsid w:val="0034746D"/>
    <w:rsid w:val="00352691"/>
    <w:rsid w:val="00352837"/>
    <w:rsid w:val="0035478B"/>
    <w:rsid w:val="00357F1F"/>
    <w:rsid w:val="0036289E"/>
    <w:rsid w:val="00367A6C"/>
    <w:rsid w:val="00377440"/>
    <w:rsid w:val="0037785D"/>
    <w:rsid w:val="00390555"/>
    <w:rsid w:val="0039222B"/>
    <w:rsid w:val="003A2A98"/>
    <w:rsid w:val="003D2D37"/>
    <w:rsid w:val="003E0DCB"/>
    <w:rsid w:val="003F1F37"/>
    <w:rsid w:val="0040115F"/>
    <w:rsid w:val="00415A68"/>
    <w:rsid w:val="004372BD"/>
    <w:rsid w:val="0044381A"/>
    <w:rsid w:val="0046410E"/>
    <w:rsid w:val="004714B2"/>
    <w:rsid w:val="00481C15"/>
    <w:rsid w:val="0049398F"/>
    <w:rsid w:val="00494FED"/>
    <w:rsid w:val="0049537E"/>
    <w:rsid w:val="004A3E50"/>
    <w:rsid w:val="004A53B0"/>
    <w:rsid w:val="004A685D"/>
    <w:rsid w:val="004B04C5"/>
    <w:rsid w:val="004B4BBF"/>
    <w:rsid w:val="004B6305"/>
    <w:rsid w:val="004C7851"/>
    <w:rsid w:val="004F31C5"/>
    <w:rsid w:val="005075F8"/>
    <w:rsid w:val="00532627"/>
    <w:rsid w:val="00544202"/>
    <w:rsid w:val="00545744"/>
    <w:rsid w:val="00550744"/>
    <w:rsid w:val="00551A4F"/>
    <w:rsid w:val="00572AE0"/>
    <w:rsid w:val="00576E59"/>
    <w:rsid w:val="0058788C"/>
    <w:rsid w:val="005A0723"/>
    <w:rsid w:val="005B5525"/>
    <w:rsid w:val="005E2D61"/>
    <w:rsid w:val="00605F80"/>
    <w:rsid w:val="0061726F"/>
    <w:rsid w:val="00626867"/>
    <w:rsid w:val="00656E2B"/>
    <w:rsid w:val="00662C9D"/>
    <w:rsid w:val="006746E2"/>
    <w:rsid w:val="006844BE"/>
    <w:rsid w:val="00691518"/>
    <w:rsid w:val="006A079A"/>
    <w:rsid w:val="006C13DC"/>
    <w:rsid w:val="006C1D72"/>
    <w:rsid w:val="006C43E6"/>
    <w:rsid w:val="006D3262"/>
    <w:rsid w:val="006E6497"/>
    <w:rsid w:val="00712448"/>
    <w:rsid w:val="00723AF8"/>
    <w:rsid w:val="007245DA"/>
    <w:rsid w:val="007469D7"/>
    <w:rsid w:val="0075410B"/>
    <w:rsid w:val="00754B36"/>
    <w:rsid w:val="00761D84"/>
    <w:rsid w:val="007748E4"/>
    <w:rsid w:val="00787A86"/>
    <w:rsid w:val="0079693F"/>
    <w:rsid w:val="007B59F0"/>
    <w:rsid w:val="007C2E7E"/>
    <w:rsid w:val="007D2AB9"/>
    <w:rsid w:val="007E1BC0"/>
    <w:rsid w:val="007E5172"/>
    <w:rsid w:val="00807D9B"/>
    <w:rsid w:val="00810259"/>
    <w:rsid w:val="00812131"/>
    <w:rsid w:val="008141E2"/>
    <w:rsid w:val="008243A4"/>
    <w:rsid w:val="00843757"/>
    <w:rsid w:val="008557B2"/>
    <w:rsid w:val="00856230"/>
    <w:rsid w:val="00881129"/>
    <w:rsid w:val="00887CC8"/>
    <w:rsid w:val="00894686"/>
    <w:rsid w:val="008A5F73"/>
    <w:rsid w:val="008E6D01"/>
    <w:rsid w:val="008F5C17"/>
    <w:rsid w:val="0090333C"/>
    <w:rsid w:val="00907D50"/>
    <w:rsid w:val="0092325A"/>
    <w:rsid w:val="0096193C"/>
    <w:rsid w:val="00973B0D"/>
    <w:rsid w:val="009B45A0"/>
    <w:rsid w:val="009D2015"/>
    <w:rsid w:val="009E73F5"/>
    <w:rsid w:val="009F2D18"/>
    <w:rsid w:val="00A05C33"/>
    <w:rsid w:val="00A10886"/>
    <w:rsid w:val="00A14994"/>
    <w:rsid w:val="00A1691E"/>
    <w:rsid w:val="00A223A8"/>
    <w:rsid w:val="00A2307A"/>
    <w:rsid w:val="00A252F5"/>
    <w:rsid w:val="00A54C32"/>
    <w:rsid w:val="00A64C3C"/>
    <w:rsid w:val="00A732F4"/>
    <w:rsid w:val="00A83BB3"/>
    <w:rsid w:val="00A846B7"/>
    <w:rsid w:val="00A97790"/>
    <w:rsid w:val="00AB34AD"/>
    <w:rsid w:val="00AB62EE"/>
    <w:rsid w:val="00AC1CD0"/>
    <w:rsid w:val="00AC72CB"/>
    <w:rsid w:val="00AE1A08"/>
    <w:rsid w:val="00B1179E"/>
    <w:rsid w:val="00B154FF"/>
    <w:rsid w:val="00B43595"/>
    <w:rsid w:val="00B46EF1"/>
    <w:rsid w:val="00B5150F"/>
    <w:rsid w:val="00B6024A"/>
    <w:rsid w:val="00B77ADE"/>
    <w:rsid w:val="00B81C6A"/>
    <w:rsid w:val="00BA76D3"/>
    <w:rsid w:val="00BB51EB"/>
    <w:rsid w:val="00BB54C3"/>
    <w:rsid w:val="00BB7311"/>
    <w:rsid w:val="00BC5490"/>
    <w:rsid w:val="00BD12E8"/>
    <w:rsid w:val="00BD1FD5"/>
    <w:rsid w:val="00BE10F3"/>
    <w:rsid w:val="00BE4E55"/>
    <w:rsid w:val="00BE5061"/>
    <w:rsid w:val="00BE7CE7"/>
    <w:rsid w:val="00BF0DE9"/>
    <w:rsid w:val="00C06037"/>
    <w:rsid w:val="00C2361E"/>
    <w:rsid w:val="00C2709F"/>
    <w:rsid w:val="00C31CDF"/>
    <w:rsid w:val="00C34BA4"/>
    <w:rsid w:val="00C72DE0"/>
    <w:rsid w:val="00CA0016"/>
    <w:rsid w:val="00CE09F8"/>
    <w:rsid w:val="00CF2D59"/>
    <w:rsid w:val="00CF54BB"/>
    <w:rsid w:val="00CF784E"/>
    <w:rsid w:val="00D21975"/>
    <w:rsid w:val="00D32B89"/>
    <w:rsid w:val="00D35D11"/>
    <w:rsid w:val="00D41123"/>
    <w:rsid w:val="00D53F7A"/>
    <w:rsid w:val="00D73B81"/>
    <w:rsid w:val="00D91DF0"/>
    <w:rsid w:val="00D96A16"/>
    <w:rsid w:val="00DA0255"/>
    <w:rsid w:val="00DB246B"/>
    <w:rsid w:val="00DB3D63"/>
    <w:rsid w:val="00DB4881"/>
    <w:rsid w:val="00DB60A7"/>
    <w:rsid w:val="00DB6368"/>
    <w:rsid w:val="00E00D4F"/>
    <w:rsid w:val="00E05EBD"/>
    <w:rsid w:val="00E1096D"/>
    <w:rsid w:val="00E326FB"/>
    <w:rsid w:val="00E33764"/>
    <w:rsid w:val="00E35AC8"/>
    <w:rsid w:val="00E54BC0"/>
    <w:rsid w:val="00E6429B"/>
    <w:rsid w:val="00E83687"/>
    <w:rsid w:val="00E85FC7"/>
    <w:rsid w:val="00E901DD"/>
    <w:rsid w:val="00E9321A"/>
    <w:rsid w:val="00EA27D4"/>
    <w:rsid w:val="00EB5523"/>
    <w:rsid w:val="00EC4C2F"/>
    <w:rsid w:val="00ED1EC9"/>
    <w:rsid w:val="00ED565B"/>
    <w:rsid w:val="00EF2C9F"/>
    <w:rsid w:val="00EF6026"/>
    <w:rsid w:val="00F34943"/>
    <w:rsid w:val="00F42609"/>
    <w:rsid w:val="00F43557"/>
    <w:rsid w:val="00F53799"/>
    <w:rsid w:val="00F555C5"/>
    <w:rsid w:val="00F63196"/>
    <w:rsid w:val="00F7374B"/>
    <w:rsid w:val="00F84597"/>
    <w:rsid w:val="00F852E8"/>
    <w:rsid w:val="00F92F32"/>
    <w:rsid w:val="00FA78DC"/>
    <w:rsid w:val="00FB298E"/>
    <w:rsid w:val="00FE3C2D"/>
    <w:rsid w:val="00FE3CD3"/>
    <w:rsid w:val="343814E6"/>
    <w:rsid w:val="5F7FFB85"/>
    <w:rsid w:val="74D4F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50763"/>
  <w15:chartTrackingRefBased/>
  <w15:docId w15:val="{A2621BA9-ACEF-B14A-939F-B12D60D2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AB9"/>
    <w:rPr>
      <w:rFonts w:ascii="Roboto" w:hAnsi="Roboto"/>
    </w:rPr>
  </w:style>
  <w:style w:type="paragraph" w:styleId="Heading1">
    <w:name w:val="heading 1"/>
    <w:basedOn w:val="Normal"/>
    <w:next w:val="Normal"/>
    <w:link w:val="Heading1Char"/>
    <w:uiPriority w:val="9"/>
    <w:qFormat/>
    <w:rsid w:val="002B07C2"/>
    <w:pPr>
      <w:keepNext/>
      <w:keepLines/>
      <w:spacing w:after="80"/>
      <w:outlineLvl w:val="0"/>
    </w:pPr>
    <w:rPr>
      <w:rFonts w:ascii="Montserrat" w:eastAsiaTheme="majorEastAsia" w:hAnsi="Montserrat" w:cstheme="majorBidi"/>
      <w:b/>
      <w:color w:val="054362" w:themeColor="accent1" w:themeShade="BF"/>
      <w:sz w:val="48"/>
      <w:szCs w:val="40"/>
    </w:rPr>
  </w:style>
  <w:style w:type="paragraph" w:styleId="Heading2">
    <w:name w:val="heading 2"/>
    <w:basedOn w:val="Normal"/>
    <w:next w:val="Normal"/>
    <w:link w:val="Heading2Char"/>
    <w:uiPriority w:val="9"/>
    <w:unhideWhenUsed/>
    <w:qFormat/>
    <w:rsid w:val="00220F0C"/>
    <w:pPr>
      <w:keepNext/>
      <w:keepLines/>
      <w:spacing w:before="160" w:after="80"/>
      <w:outlineLvl w:val="1"/>
    </w:pPr>
    <w:rPr>
      <w:rFonts w:eastAsiaTheme="majorEastAsia" w:cstheme="majorBidi"/>
      <w:b/>
      <w:color w:val="054362" w:themeColor="accent1" w:themeShade="BF"/>
      <w:sz w:val="40"/>
      <w:szCs w:val="32"/>
    </w:rPr>
  </w:style>
  <w:style w:type="paragraph" w:styleId="Heading3">
    <w:name w:val="heading 3"/>
    <w:basedOn w:val="Normal"/>
    <w:next w:val="Normal"/>
    <w:link w:val="Heading3Char"/>
    <w:uiPriority w:val="9"/>
    <w:unhideWhenUsed/>
    <w:qFormat/>
    <w:rsid w:val="004B6305"/>
    <w:pPr>
      <w:keepNext/>
      <w:keepLines/>
      <w:spacing w:before="160" w:after="80"/>
      <w:outlineLvl w:val="2"/>
    </w:pPr>
    <w:rPr>
      <w:rFonts w:eastAsiaTheme="majorEastAsia" w:cstheme="majorBidi"/>
      <w:b/>
      <w:color w:val="054362" w:themeColor="accent1" w:themeShade="BF"/>
      <w:sz w:val="32"/>
      <w:szCs w:val="28"/>
    </w:rPr>
  </w:style>
  <w:style w:type="paragraph" w:styleId="Heading4">
    <w:name w:val="heading 4"/>
    <w:basedOn w:val="Normal"/>
    <w:next w:val="Normal"/>
    <w:link w:val="Heading4Char"/>
    <w:uiPriority w:val="9"/>
    <w:unhideWhenUsed/>
    <w:qFormat/>
    <w:rsid w:val="001B3210"/>
    <w:pPr>
      <w:keepNext/>
      <w:keepLines/>
      <w:spacing w:before="80" w:after="40"/>
      <w:outlineLvl w:val="3"/>
    </w:pPr>
    <w:rPr>
      <w:rFonts w:ascii="Montserrat" w:eastAsiaTheme="majorEastAsia" w:hAnsi="Montserrat" w:cstheme="majorBidi"/>
      <w:b/>
      <w:iCs/>
      <w:color w:val="075A83" w:themeColor="accent1"/>
      <w:sz w:val="28"/>
    </w:rPr>
  </w:style>
  <w:style w:type="paragraph" w:styleId="Heading5">
    <w:name w:val="heading 5"/>
    <w:basedOn w:val="Normal"/>
    <w:next w:val="Normal"/>
    <w:link w:val="Heading5Char"/>
    <w:uiPriority w:val="9"/>
    <w:semiHidden/>
    <w:unhideWhenUsed/>
    <w:qFormat/>
    <w:rsid w:val="007D2AB9"/>
    <w:pPr>
      <w:keepNext/>
      <w:keepLines/>
      <w:spacing w:before="80" w:after="40"/>
      <w:outlineLvl w:val="4"/>
    </w:pPr>
    <w:rPr>
      <w:rFonts w:eastAsiaTheme="majorEastAsia" w:cstheme="majorBidi"/>
      <w:color w:val="054362" w:themeColor="accent1" w:themeShade="BF"/>
    </w:rPr>
  </w:style>
  <w:style w:type="paragraph" w:styleId="Heading6">
    <w:name w:val="heading 6"/>
    <w:basedOn w:val="Normal"/>
    <w:next w:val="Normal"/>
    <w:link w:val="Heading6Char"/>
    <w:uiPriority w:val="9"/>
    <w:semiHidden/>
    <w:unhideWhenUsed/>
    <w:qFormat/>
    <w:rsid w:val="007D2AB9"/>
    <w:pPr>
      <w:keepNext/>
      <w:keepLines/>
      <w:spacing w:before="40"/>
      <w:outlineLvl w:val="5"/>
    </w:pPr>
    <w:rPr>
      <w:rFonts w:eastAsiaTheme="majorEastAsia" w:cstheme="majorBidi"/>
      <w:i/>
      <w:iCs/>
      <w:color w:val="356DC3" w:themeColor="text1" w:themeTint="A6"/>
    </w:rPr>
  </w:style>
  <w:style w:type="paragraph" w:styleId="Heading7">
    <w:name w:val="heading 7"/>
    <w:basedOn w:val="Normal"/>
    <w:next w:val="Normal"/>
    <w:link w:val="Heading7Char"/>
    <w:uiPriority w:val="9"/>
    <w:semiHidden/>
    <w:unhideWhenUsed/>
    <w:qFormat/>
    <w:rsid w:val="007D2AB9"/>
    <w:pPr>
      <w:keepNext/>
      <w:keepLines/>
      <w:spacing w:before="40"/>
      <w:outlineLvl w:val="6"/>
    </w:pPr>
    <w:rPr>
      <w:rFonts w:eastAsiaTheme="majorEastAsia" w:cstheme="majorBidi"/>
      <w:color w:val="356DC3" w:themeColor="text1" w:themeTint="A6"/>
    </w:rPr>
  </w:style>
  <w:style w:type="paragraph" w:styleId="Heading8">
    <w:name w:val="heading 8"/>
    <w:basedOn w:val="Normal"/>
    <w:next w:val="Normal"/>
    <w:link w:val="Heading8Char"/>
    <w:uiPriority w:val="9"/>
    <w:semiHidden/>
    <w:unhideWhenUsed/>
    <w:qFormat/>
    <w:rsid w:val="007D2AB9"/>
    <w:pPr>
      <w:keepNext/>
      <w:keepLines/>
      <w:outlineLvl w:val="7"/>
    </w:pPr>
    <w:rPr>
      <w:rFonts w:eastAsiaTheme="majorEastAsia" w:cstheme="majorBidi"/>
      <w:i/>
      <w:iCs/>
      <w:color w:val="244A85" w:themeColor="text1" w:themeTint="D8"/>
    </w:rPr>
  </w:style>
  <w:style w:type="paragraph" w:styleId="Heading9">
    <w:name w:val="heading 9"/>
    <w:basedOn w:val="Normal"/>
    <w:next w:val="Normal"/>
    <w:link w:val="Heading9Char"/>
    <w:uiPriority w:val="9"/>
    <w:semiHidden/>
    <w:unhideWhenUsed/>
    <w:qFormat/>
    <w:rsid w:val="007D2AB9"/>
    <w:pPr>
      <w:keepNext/>
      <w:keepLines/>
      <w:outlineLvl w:val="8"/>
    </w:pPr>
    <w:rPr>
      <w:rFonts w:eastAsiaTheme="majorEastAsia" w:cstheme="majorBidi"/>
      <w:color w:val="244A85"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7C2"/>
    <w:rPr>
      <w:rFonts w:ascii="Montserrat" w:eastAsiaTheme="majorEastAsia" w:hAnsi="Montserrat" w:cstheme="majorBidi"/>
      <w:b/>
      <w:color w:val="054362" w:themeColor="accent1" w:themeShade="BF"/>
      <w:sz w:val="48"/>
      <w:szCs w:val="40"/>
    </w:rPr>
  </w:style>
  <w:style w:type="character" w:customStyle="1" w:styleId="Heading2Char">
    <w:name w:val="Heading 2 Char"/>
    <w:basedOn w:val="DefaultParagraphFont"/>
    <w:link w:val="Heading2"/>
    <w:uiPriority w:val="9"/>
    <w:rsid w:val="00220F0C"/>
    <w:rPr>
      <w:rFonts w:ascii="Roboto" w:eastAsiaTheme="majorEastAsia" w:hAnsi="Roboto" w:cstheme="majorBidi"/>
      <w:b/>
      <w:color w:val="054362" w:themeColor="accent1" w:themeShade="BF"/>
      <w:sz w:val="40"/>
      <w:szCs w:val="32"/>
    </w:rPr>
  </w:style>
  <w:style w:type="character" w:customStyle="1" w:styleId="Heading3Char">
    <w:name w:val="Heading 3 Char"/>
    <w:basedOn w:val="DefaultParagraphFont"/>
    <w:link w:val="Heading3"/>
    <w:uiPriority w:val="9"/>
    <w:rsid w:val="004B6305"/>
    <w:rPr>
      <w:rFonts w:ascii="Roboto" w:eastAsiaTheme="majorEastAsia" w:hAnsi="Roboto" w:cstheme="majorBidi"/>
      <w:b/>
      <w:color w:val="054362" w:themeColor="accent1" w:themeShade="BF"/>
      <w:sz w:val="32"/>
      <w:szCs w:val="28"/>
    </w:rPr>
  </w:style>
  <w:style w:type="character" w:customStyle="1" w:styleId="Heading4Char">
    <w:name w:val="Heading 4 Char"/>
    <w:basedOn w:val="DefaultParagraphFont"/>
    <w:link w:val="Heading4"/>
    <w:uiPriority w:val="9"/>
    <w:rsid w:val="001B3210"/>
    <w:rPr>
      <w:rFonts w:ascii="Montserrat" w:eastAsiaTheme="majorEastAsia" w:hAnsi="Montserrat" w:cstheme="majorBidi"/>
      <w:b/>
      <w:iCs/>
      <w:color w:val="075A83" w:themeColor="accent1"/>
      <w:sz w:val="28"/>
    </w:rPr>
  </w:style>
  <w:style w:type="character" w:customStyle="1" w:styleId="Heading5Char">
    <w:name w:val="Heading 5 Char"/>
    <w:basedOn w:val="DefaultParagraphFont"/>
    <w:link w:val="Heading5"/>
    <w:uiPriority w:val="9"/>
    <w:semiHidden/>
    <w:rsid w:val="007D2AB9"/>
    <w:rPr>
      <w:rFonts w:eastAsiaTheme="majorEastAsia" w:cstheme="majorBidi"/>
      <w:color w:val="054362" w:themeColor="accent1" w:themeShade="BF"/>
    </w:rPr>
  </w:style>
  <w:style w:type="character" w:customStyle="1" w:styleId="Heading6Char">
    <w:name w:val="Heading 6 Char"/>
    <w:basedOn w:val="DefaultParagraphFont"/>
    <w:link w:val="Heading6"/>
    <w:uiPriority w:val="9"/>
    <w:semiHidden/>
    <w:rsid w:val="007D2AB9"/>
    <w:rPr>
      <w:rFonts w:eastAsiaTheme="majorEastAsia" w:cstheme="majorBidi"/>
      <w:i/>
      <w:iCs/>
      <w:color w:val="356DC3" w:themeColor="text1" w:themeTint="A6"/>
    </w:rPr>
  </w:style>
  <w:style w:type="character" w:customStyle="1" w:styleId="Heading7Char">
    <w:name w:val="Heading 7 Char"/>
    <w:basedOn w:val="DefaultParagraphFont"/>
    <w:link w:val="Heading7"/>
    <w:uiPriority w:val="9"/>
    <w:semiHidden/>
    <w:rsid w:val="007D2AB9"/>
    <w:rPr>
      <w:rFonts w:eastAsiaTheme="majorEastAsia" w:cstheme="majorBidi"/>
      <w:color w:val="356DC3" w:themeColor="text1" w:themeTint="A6"/>
    </w:rPr>
  </w:style>
  <w:style w:type="character" w:customStyle="1" w:styleId="Heading8Char">
    <w:name w:val="Heading 8 Char"/>
    <w:basedOn w:val="DefaultParagraphFont"/>
    <w:link w:val="Heading8"/>
    <w:uiPriority w:val="9"/>
    <w:semiHidden/>
    <w:rsid w:val="007D2AB9"/>
    <w:rPr>
      <w:rFonts w:eastAsiaTheme="majorEastAsia" w:cstheme="majorBidi"/>
      <w:i/>
      <w:iCs/>
      <w:color w:val="244A85" w:themeColor="text1" w:themeTint="D8"/>
    </w:rPr>
  </w:style>
  <w:style w:type="character" w:customStyle="1" w:styleId="Heading9Char">
    <w:name w:val="Heading 9 Char"/>
    <w:basedOn w:val="DefaultParagraphFont"/>
    <w:link w:val="Heading9"/>
    <w:uiPriority w:val="9"/>
    <w:semiHidden/>
    <w:rsid w:val="007D2AB9"/>
    <w:rPr>
      <w:rFonts w:eastAsiaTheme="majorEastAsia" w:cstheme="majorBidi"/>
      <w:color w:val="244A85" w:themeColor="text1" w:themeTint="D8"/>
    </w:rPr>
  </w:style>
  <w:style w:type="paragraph" w:styleId="Title">
    <w:name w:val="Title"/>
    <w:basedOn w:val="Normal"/>
    <w:next w:val="Normal"/>
    <w:link w:val="TitleChar"/>
    <w:autoRedefine/>
    <w:uiPriority w:val="10"/>
    <w:qFormat/>
    <w:rsid w:val="009D2015"/>
    <w:pPr>
      <w:spacing w:after="80"/>
      <w:contextualSpacing/>
    </w:pPr>
    <w:rPr>
      <w:rFonts w:ascii="Montserrat" w:eastAsiaTheme="majorEastAsia" w:hAnsi="Montserrat" w:cstheme="majorBidi"/>
      <w:b/>
      <w:color w:val="075A83" w:themeColor="accent1"/>
      <w:spacing w:val="-10"/>
      <w:kern w:val="28"/>
      <w:sz w:val="56"/>
      <w:szCs w:val="56"/>
    </w:rPr>
  </w:style>
  <w:style w:type="character" w:customStyle="1" w:styleId="TitleChar">
    <w:name w:val="Title Char"/>
    <w:basedOn w:val="DefaultParagraphFont"/>
    <w:link w:val="Title"/>
    <w:uiPriority w:val="10"/>
    <w:rsid w:val="009D2015"/>
    <w:rPr>
      <w:rFonts w:ascii="Montserrat" w:eastAsiaTheme="majorEastAsia" w:hAnsi="Montserrat" w:cstheme="majorBidi"/>
      <w:b/>
      <w:color w:val="075A83" w:themeColor="accent1"/>
      <w:spacing w:val="-10"/>
      <w:kern w:val="28"/>
      <w:sz w:val="56"/>
      <w:szCs w:val="56"/>
    </w:rPr>
  </w:style>
  <w:style w:type="paragraph" w:styleId="Subtitle">
    <w:name w:val="Subtitle"/>
    <w:basedOn w:val="Normal"/>
    <w:next w:val="Normal"/>
    <w:link w:val="SubtitleChar"/>
    <w:uiPriority w:val="11"/>
    <w:qFormat/>
    <w:rsid w:val="007D2AB9"/>
    <w:pPr>
      <w:numPr>
        <w:ilvl w:val="1"/>
      </w:numPr>
      <w:spacing w:after="160"/>
    </w:pPr>
    <w:rPr>
      <w:rFonts w:eastAsiaTheme="majorEastAsia" w:cstheme="majorBidi"/>
      <w:color w:val="356DC3" w:themeColor="text1" w:themeTint="A6"/>
      <w:spacing w:val="15"/>
      <w:sz w:val="28"/>
      <w:szCs w:val="28"/>
    </w:rPr>
  </w:style>
  <w:style w:type="character" w:customStyle="1" w:styleId="SubtitleChar">
    <w:name w:val="Subtitle Char"/>
    <w:basedOn w:val="DefaultParagraphFont"/>
    <w:link w:val="Subtitle"/>
    <w:uiPriority w:val="11"/>
    <w:rsid w:val="007D2AB9"/>
    <w:rPr>
      <w:rFonts w:eastAsiaTheme="majorEastAsia" w:cstheme="majorBidi"/>
      <w:color w:val="356DC3" w:themeColor="text1" w:themeTint="A6"/>
      <w:spacing w:val="15"/>
      <w:sz w:val="28"/>
      <w:szCs w:val="28"/>
    </w:rPr>
  </w:style>
  <w:style w:type="paragraph" w:styleId="Quote">
    <w:name w:val="Quote"/>
    <w:basedOn w:val="Normal"/>
    <w:next w:val="Normal"/>
    <w:link w:val="QuoteChar"/>
    <w:uiPriority w:val="29"/>
    <w:qFormat/>
    <w:rsid w:val="007D2AB9"/>
    <w:pPr>
      <w:spacing w:before="160" w:after="160"/>
      <w:jc w:val="center"/>
    </w:pPr>
    <w:rPr>
      <w:i/>
      <w:iCs/>
      <w:color w:val="2C5CA4" w:themeColor="text1" w:themeTint="BF"/>
    </w:rPr>
  </w:style>
  <w:style w:type="character" w:customStyle="1" w:styleId="QuoteChar">
    <w:name w:val="Quote Char"/>
    <w:basedOn w:val="DefaultParagraphFont"/>
    <w:link w:val="Quote"/>
    <w:uiPriority w:val="29"/>
    <w:rsid w:val="007D2AB9"/>
    <w:rPr>
      <w:i/>
      <w:iCs/>
      <w:color w:val="2C5CA4" w:themeColor="text1" w:themeTint="BF"/>
    </w:rPr>
  </w:style>
  <w:style w:type="paragraph" w:styleId="ListParagraph">
    <w:name w:val="List Paragraph"/>
    <w:basedOn w:val="Normal"/>
    <w:uiPriority w:val="34"/>
    <w:qFormat/>
    <w:rsid w:val="007D2AB9"/>
    <w:pPr>
      <w:ind w:left="720"/>
      <w:contextualSpacing/>
    </w:pPr>
  </w:style>
  <w:style w:type="character" w:styleId="IntenseEmphasis">
    <w:name w:val="Intense Emphasis"/>
    <w:basedOn w:val="DefaultParagraphFont"/>
    <w:uiPriority w:val="21"/>
    <w:qFormat/>
    <w:rsid w:val="007D2AB9"/>
    <w:rPr>
      <w:i/>
      <w:iCs/>
      <w:color w:val="054362" w:themeColor="accent1" w:themeShade="BF"/>
    </w:rPr>
  </w:style>
  <w:style w:type="paragraph" w:styleId="IntenseQuote">
    <w:name w:val="Intense Quote"/>
    <w:basedOn w:val="Normal"/>
    <w:next w:val="Normal"/>
    <w:link w:val="IntenseQuoteChar"/>
    <w:uiPriority w:val="30"/>
    <w:qFormat/>
    <w:rsid w:val="007D2AB9"/>
    <w:pPr>
      <w:pBdr>
        <w:top w:val="single" w:sz="4" w:space="10" w:color="054362" w:themeColor="accent1" w:themeShade="BF"/>
        <w:bottom w:val="single" w:sz="4" w:space="10" w:color="054362" w:themeColor="accent1" w:themeShade="BF"/>
      </w:pBdr>
      <w:spacing w:before="360" w:after="360"/>
      <w:ind w:left="864" w:right="864"/>
      <w:jc w:val="center"/>
    </w:pPr>
    <w:rPr>
      <w:i/>
      <w:iCs/>
      <w:color w:val="054362" w:themeColor="accent1" w:themeShade="BF"/>
    </w:rPr>
  </w:style>
  <w:style w:type="character" w:customStyle="1" w:styleId="IntenseQuoteChar">
    <w:name w:val="Intense Quote Char"/>
    <w:basedOn w:val="DefaultParagraphFont"/>
    <w:link w:val="IntenseQuote"/>
    <w:uiPriority w:val="30"/>
    <w:rsid w:val="007D2AB9"/>
    <w:rPr>
      <w:i/>
      <w:iCs/>
      <w:color w:val="054362" w:themeColor="accent1" w:themeShade="BF"/>
    </w:rPr>
  </w:style>
  <w:style w:type="character" w:styleId="IntenseReference">
    <w:name w:val="Intense Reference"/>
    <w:basedOn w:val="DefaultParagraphFont"/>
    <w:uiPriority w:val="32"/>
    <w:qFormat/>
    <w:rsid w:val="007D2AB9"/>
    <w:rPr>
      <w:b/>
      <w:bCs/>
      <w:smallCaps/>
      <w:color w:val="054362" w:themeColor="accent1" w:themeShade="BF"/>
      <w:spacing w:val="5"/>
    </w:rPr>
  </w:style>
  <w:style w:type="paragraph" w:styleId="NoSpacing">
    <w:name w:val="No Spacing"/>
    <w:uiPriority w:val="1"/>
    <w:qFormat/>
    <w:rsid w:val="007D2AB9"/>
    <w:rPr>
      <w:rFonts w:ascii="Roboto" w:hAnsi="Roboto"/>
    </w:rPr>
  </w:style>
  <w:style w:type="paragraph" w:styleId="Header">
    <w:name w:val="header"/>
    <w:basedOn w:val="Normal"/>
    <w:link w:val="HeaderChar"/>
    <w:uiPriority w:val="99"/>
    <w:unhideWhenUsed/>
    <w:rsid w:val="007D2AB9"/>
    <w:pPr>
      <w:tabs>
        <w:tab w:val="center" w:pos="4680"/>
        <w:tab w:val="right" w:pos="9360"/>
      </w:tabs>
    </w:pPr>
  </w:style>
  <w:style w:type="character" w:customStyle="1" w:styleId="HeaderChar">
    <w:name w:val="Header Char"/>
    <w:basedOn w:val="DefaultParagraphFont"/>
    <w:link w:val="Header"/>
    <w:uiPriority w:val="99"/>
    <w:rsid w:val="007D2AB9"/>
    <w:rPr>
      <w:rFonts w:ascii="Roboto" w:hAnsi="Roboto"/>
    </w:rPr>
  </w:style>
  <w:style w:type="paragraph" w:styleId="Footer">
    <w:name w:val="footer"/>
    <w:basedOn w:val="Normal"/>
    <w:link w:val="FooterChar"/>
    <w:uiPriority w:val="99"/>
    <w:unhideWhenUsed/>
    <w:rsid w:val="007D2AB9"/>
    <w:pPr>
      <w:tabs>
        <w:tab w:val="center" w:pos="4680"/>
        <w:tab w:val="right" w:pos="9360"/>
      </w:tabs>
    </w:pPr>
  </w:style>
  <w:style w:type="character" w:customStyle="1" w:styleId="FooterChar">
    <w:name w:val="Footer Char"/>
    <w:basedOn w:val="DefaultParagraphFont"/>
    <w:link w:val="Footer"/>
    <w:uiPriority w:val="99"/>
    <w:rsid w:val="007D2AB9"/>
    <w:rPr>
      <w:rFonts w:ascii="Roboto" w:hAnsi="Roboto"/>
    </w:rPr>
  </w:style>
  <w:style w:type="table" w:styleId="TableGrid">
    <w:name w:val="Table Grid"/>
    <w:basedOn w:val="TableNormal"/>
    <w:uiPriority w:val="39"/>
    <w:rsid w:val="00220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B62E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9941">
      <w:bodyDiv w:val="1"/>
      <w:marLeft w:val="0"/>
      <w:marRight w:val="0"/>
      <w:marTop w:val="0"/>
      <w:marBottom w:val="0"/>
      <w:divBdr>
        <w:top w:val="none" w:sz="0" w:space="0" w:color="auto"/>
        <w:left w:val="none" w:sz="0" w:space="0" w:color="auto"/>
        <w:bottom w:val="none" w:sz="0" w:space="0" w:color="auto"/>
        <w:right w:val="none" w:sz="0" w:space="0" w:color="auto"/>
      </w:divBdr>
    </w:div>
    <w:div w:id="721252807">
      <w:bodyDiv w:val="1"/>
      <w:marLeft w:val="0"/>
      <w:marRight w:val="0"/>
      <w:marTop w:val="0"/>
      <w:marBottom w:val="0"/>
      <w:divBdr>
        <w:top w:val="none" w:sz="0" w:space="0" w:color="auto"/>
        <w:left w:val="none" w:sz="0" w:space="0" w:color="auto"/>
        <w:bottom w:val="none" w:sz="0" w:space="0" w:color="auto"/>
        <w:right w:val="none" w:sz="0" w:space="0" w:color="auto"/>
      </w:divBdr>
    </w:div>
    <w:div w:id="1267229292">
      <w:bodyDiv w:val="1"/>
      <w:marLeft w:val="0"/>
      <w:marRight w:val="0"/>
      <w:marTop w:val="0"/>
      <w:marBottom w:val="0"/>
      <w:divBdr>
        <w:top w:val="none" w:sz="0" w:space="0" w:color="auto"/>
        <w:left w:val="none" w:sz="0" w:space="0" w:color="auto"/>
        <w:bottom w:val="none" w:sz="0" w:space="0" w:color="auto"/>
        <w:right w:val="none" w:sz="0" w:space="0" w:color="auto"/>
      </w:divBdr>
    </w:div>
    <w:div w:id="1334138265">
      <w:bodyDiv w:val="1"/>
      <w:marLeft w:val="0"/>
      <w:marRight w:val="0"/>
      <w:marTop w:val="0"/>
      <w:marBottom w:val="0"/>
      <w:divBdr>
        <w:top w:val="none" w:sz="0" w:space="0" w:color="auto"/>
        <w:left w:val="none" w:sz="0" w:space="0" w:color="auto"/>
        <w:bottom w:val="none" w:sz="0" w:space="0" w:color="auto"/>
        <w:right w:val="none" w:sz="0" w:space="0" w:color="auto"/>
      </w:divBdr>
    </w:div>
    <w:div w:id="1473139777">
      <w:bodyDiv w:val="1"/>
      <w:marLeft w:val="0"/>
      <w:marRight w:val="0"/>
      <w:marTop w:val="0"/>
      <w:marBottom w:val="0"/>
      <w:divBdr>
        <w:top w:val="none" w:sz="0" w:space="0" w:color="auto"/>
        <w:left w:val="none" w:sz="0" w:space="0" w:color="auto"/>
        <w:bottom w:val="none" w:sz="0" w:space="0" w:color="auto"/>
        <w:right w:val="none" w:sz="0" w:space="0" w:color="auto"/>
      </w:divBdr>
    </w:div>
    <w:div w:id="1522819034">
      <w:bodyDiv w:val="1"/>
      <w:marLeft w:val="0"/>
      <w:marRight w:val="0"/>
      <w:marTop w:val="0"/>
      <w:marBottom w:val="0"/>
      <w:divBdr>
        <w:top w:val="none" w:sz="0" w:space="0" w:color="auto"/>
        <w:left w:val="none" w:sz="0" w:space="0" w:color="auto"/>
        <w:bottom w:val="none" w:sz="0" w:space="0" w:color="auto"/>
        <w:right w:val="none" w:sz="0" w:space="0" w:color="auto"/>
      </w:divBdr>
    </w:div>
    <w:div w:id="1542398628">
      <w:bodyDiv w:val="1"/>
      <w:marLeft w:val="0"/>
      <w:marRight w:val="0"/>
      <w:marTop w:val="0"/>
      <w:marBottom w:val="0"/>
      <w:divBdr>
        <w:top w:val="none" w:sz="0" w:space="0" w:color="auto"/>
        <w:left w:val="none" w:sz="0" w:space="0" w:color="auto"/>
        <w:bottom w:val="none" w:sz="0" w:space="0" w:color="auto"/>
        <w:right w:val="none" w:sz="0" w:space="0" w:color="auto"/>
      </w:divBdr>
    </w:div>
    <w:div w:id="199702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DGA Brand">
      <a:dk1>
        <a:srgbClr val="173055"/>
      </a:dk1>
      <a:lt1>
        <a:sysClr val="window" lastClr="FFFFFF"/>
      </a:lt1>
      <a:dk2>
        <a:srgbClr val="49443D"/>
      </a:dk2>
      <a:lt2>
        <a:srgbClr val="EEEEED"/>
      </a:lt2>
      <a:accent1>
        <a:srgbClr val="075A83"/>
      </a:accent1>
      <a:accent2>
        <a:srgbClr val="78C1B1"/>
      </a:accent2>
      <a:accent3>
        <a:srgbClr val="989796"/>
      </a:accent3>
      <a:accent4>
        <a:srgbClr val="DDF7F1"/>
      </a:accent4>
      <a:accent5>
        <a:srgbClr val="FCD371"/>
      </a:accent5>
      <a:accent6>
        <a:srgbClr val="5BB5E2"/>
      </a:accent6>
      <a:hlink>
        <a:srgbClr val="0070C0"/>
      </a:hlink>
      <a:folHlink>
        <a:srgbClr val="7030A0"/>
      </a:folHlink>
    </a:clrScheme>
    <a:fontScheme name="ODGA Custom">
      <a:majorFont>
        <a:latin typeface="Montserrat"/>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94abcd-5b69-4f0a-85f1-64c8f0f62b52">
      <Terms xmlns="http://schemas.microsoft.com/office/infopath/2007/PartnerControls"/>
    </lcf76f155ced4ddcb4097134ff3c332f>
    <TaxCatchAll xmlns="7045eb7b-c79e-4e4d-ae15-b7707d8cd0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063AC3BD94C343ACF136FEC4D459A6" ma:contentTypeVersion="16" ma:contentTypeDescription="Create a new document." ma:contentTypeScope="" ma:versionID="c0567a6abeeed31bdd54c16f919ba413">
  <xsd:schema xmlns:xsd="http://www.w3.org/2001/XMLSchema" xmlns:xs="http://www.w3.org/2001/XMLSchema" xmlns:p="http://schemas.microsoft.com/office/2006/metadata/properties" xmlns:ns2="8594abcd-5b69-4f0a-85f1-64c8f0f62b52" xmlns:ns3="7045eb7b-c79e-4e4d-ae15-b7707d8cd04b" targetNamespace="http://schemas.microsoft.com/office/2006/metadata/properties" ma:root="true" ma:fieldsID="8e0b8d307f16981860f78f82b09a88ad" ns2:_="" ns3:_="">
    <xsd:import namespace="8594abcd-5b69-4f0a-85f1-64c8f0f62b52"/>
    <xsd:import namespace="7045eb7b-c79e-4e4d-ae15-b7707d8cd0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4abcd-5b69-4f0a-85f1-64c8f0f62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45eb7b-c79e-4e4d-ae15-b7707d8cd0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2d3fdab-bab0-4836-8522-da93a14b5f6c}" ma:internalName="TaxCatchAll" ma:showField="CatchAllData" ma:web="7045eb7b-c79e-4e4d-ae15-b7707d8cd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41EB5-CD3F-45A0-B45F-3C262FA1927A}">
  <ds:schemaRefs>
    <ds:schemaRef ds:uri="http://schemas.openxmlformats.org/package/2006/metadata/core-properties"/>
    <ds:schemaRef ds:uri="http://purl.org/dc/elements/1.1/"/>
    <ds:schemaRef ds:uri="http://schemas.microsoft.com/office/2006/metadata/properties"/>
    <ds:schemaRef ds:uri="7045eb7b-c79e-4e4d-ae15-b7707d8cd04b"/>
    <ds:schemaRef ds:uri="8594abcd-5b69-4f0a-85f1-64c8f0f62b52"/>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A64B266-386C-4379-B2EE-5F70BD792BB6}">
  <ds:schemaRefs>
    <ds:schemaRef ds:uri="http://schemas.microsoft.com/sharepoint/v3/contenttype/forms"/>
  </ds:schemaRefs>
</ds:datastoreItem>
</file>

<file path=customXml/itemProps3.xml><?xml version="1.0" encoding="utf-8"?>
<ds:datastoreItem xmlns:ds="http://schemas.openxmlformats.org/officeDocument/2006/customXml" ds:itemID="{1E69034E-847E-4AE3-BBB1-40AE52CD3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4abcd-5b69-4f0a-85f1-64c8f0f62b52"/>
    <ds:schemaRef ds:uri="7045eb7b-c79e-4e4d-ae15-b7707d8cd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511D87-388F-4A9A-912F-C7A0221BBBFD}">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1775</Words>
  <Characters>10122</Characters>
  <Application>Microsoft Office Word</Application>
  <DocSecurity>0</DocSecurity>
  <Lines>84</Lines>
  <Paragraphs>23</Paragraphs>
  <ScaleCrop>false</ScaleCrop>
  <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Milesh, Nicolle (VITA)</dc:creator>
  <cp:keywords/>
  <dc:description/>
  <cp:lastModifiedBy>Bailey, Jessi (ODGA)</cp:lastModifiedBy>
  <cp:revision>2</cp:revision>
  <dcterms:created xsi:type="dcterms:W3CDTF">2025-11-14T14:49:00Z</dcterms:created>
  <dcterms:modified xsi:type="dcterms:W3CDTF">2025-11-14T14:49:00Z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0x01010080063AC3BD94C343ACF136FEC4D459A6</vt:lpwstr>
  </property>
  <property fmtid="{D5CDD505-2E9C-101B-9397-08002B2CF9AE}" pid="3" name="MediaServiceImageTags">
    <vt:lpwstr/>
  </property>
</Properties>
</file>